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36" w:rsidRPr="00543760" w:rsidRDefault="00472A27" w:rsidP="00543760">
      <w:pPr>
        <w:shd w:val="clear" w:color="auto" w:fill="76923C" w:themeFill="accent3" w:themeFillShade="BF"/>
        <w:jc w:val="center"/>
        <w:rPr>
          <w:rFonts w:ascii="Arial Narrow" w:hAnsi="Arial Narrow"/>
          <w:b/>
          <w:sz w:val="50"/>
          <w:szCs w:val="50"/>
          <w:u w:val="single"/>
        </w:rPr>
      </w:pPr>
      <w:r w:rsidRPr="00543760">
        <w:rPr>
          <w:rFonts w:ascii="Arial Narrow" w:hAnsi="Arial Narrow"/>
          <w:b/>
          <w:sz w:val="50"/>
          <w:szCs w:val="50"/>
          <w:u w:val="single"/>
        </w:rPr>
        <w:t>Indicateurs d’irrégularité</w:t>
      </w:r>
      <w:r w:rsidR="00543760" w:rsidRPr="00543760">
        <w:rPr>
          <w:rFonts w:ascii="Arial Narrow" w:hAnsi="Arial Narrow"/>
          <w:b/>
          <w:sz w:val="50"/>
          <w:szCs w:val="50"/>
          <w:u w:val="single"/>
        </w:rPr>
        <w:t>s</w:t>
      </w:r>
      <w:r w:rsidRPr="00543760">
        <w:rPr>
          <w:rFonts w:ascii="Arial Narrow" w:hAnsi="Arial Narrow"/>
          <w:b/>
          <w:sz w:val="50"/>
          <w:szCs w:val="50"/>
          <w:u w:val="single"/>
        </w:rPr>
        <w:t xml:space="preserve"> / possiblement collusion</w:t>
      </w:r>
    </w:p>
    <w:tbl>
      <w:tblPr>
        <w:tblStyle w:val="Grillemoyenne2-Accent3"/>
        <w:tblW w:w="5000" w:type="pct"/>
        <w:tblLook w:val="04A0"/>
      </w:tblPr>
      <w:tblGrid>
        <w:gridCol w:w="883"/>
        <w:gridCol w:w="4628"/>
        <w:gridCol w:w="7094"/>
        <w:gridCol w:w="1291"/>
      </w:tblGrid>
      <w:tr w:rsidR="00BA1350" w:rsidRPr="00BA1350" w:rsidTr="00DD6357">
        <w:trPr>
          <w:cnfStyle w:val="100000000000"/>
        </w:trPr>
        <w:tc>
          <w:tcPr>
            <w:cnfStyle w:val="001000000100"/>
            <w:tcW w:w="301" w:type="pct"/>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vAlign w:val="center"/>
          </w:tcPr>
          <w:p w:rsidR="00BA1350" w:rsidRPr="00DD6357" w:rsidRDefault="00BA1350" w:rsidP="00DD6357">
            <w:pPr>
              <w:ind w:left="113" w:right="113"/>
              <w:jc w:val="center"/>
              <w:rPr>
                <w:rFonts w:ascii="Arial Narrow" w:hAnsi="Arial Narrow"/>
                <w:color w:val="FFFFFF" w:themeColor="background1"/>
                <w:sz w:val="56"/>
                <w:szCs w:val="56"/>
              </w:rPr>
            </w:pPr>
            <w:r w:rsidRPr="00DD6357">
              <w:rPr>
                <w:rFonts w:ascii="Arial Narrow" w:hAnsi="Arial Narrow"/>
                <w:color w:val="FFFFFF" w:themeColor="background1"/>
                <w:sz w:val="56"/>
                <w:szCs w:val="56"/>
              </w:rPr>
              <w:t>Concurrence limitée ou absente</w:t>
            </w:r>
          </w:p>
        </w:tc>
        <w:tc>
          <w:tcPr>
            <w:tcW w:w="1671" w:type="pct"/>
            <w:tcBorders>
              <w:left w:val="single" w:sz="4" w:space="0" w:color="auto"/>
            </w:tcBorders>
          </w:tcPr>
          <w:p w:rsidR="00BA1350" w:rsidRPr="00BA1350" w:rsidRDefault="00BA1350" w:rsidP="00F36F51">
            <w:pPr>
              <w:spacing w:before="240"/>
              <w:cnfStyle w:val="100000000000"/>
              <w:rPr>
                <w:rFonts w:ascii="Arial Narrow" w:hAnsi="Arial Narrow"/>
                <w:b w:val="0"/>
                <w:sz w:val="24"/>
                <w:szCs w:val="24"/>
              </w:rPr>
            </w:pPr>
            <w:r w:rsidRPr="00BA1350">
              <w:rPr>
                <w:rFonts w:ascii="Arial Narrow" w:hAnsi="Arial Narrow"/>
                <w:b w:val="0"/>
                <w:sz w:val="24"/>
                <w:szCs w:val="24"/>
              </w:rPr>
              <w:t>3 firmes se partagent les contrats</w:t>
            </w:r>
          </w:p>
        </w:tc>
        <w:tc>
          <w:tcPr>
            <w:tcW w:w="2558" w:type="pct"/>
          </w:tcPr>
          <w:p w:rsidR="00BA1350" w:rsidRPr="00BA1350" w:rsidRDefault="00BA1350" w:rsidP="00F36F51">
            <w:pPr>
              <w:spacing w:before="240"/>
              <w:cnfStyle w:val="100000000000"/>
              <w:rPr>
                <w:rFonts w:ascii="Arial Narrow" w:hAnsi="Arial Narrow"/>
                <w:b w:val="0"/>
                <w:sz w:val="24"/>
                <w:szCs w:val="24"/>
              </w:rPr>
            </w:pPr>
            <w:r w:rsidRPr="00BA1350">
              <w:rPr>
                <w:rFonts w:ascii="Arial Narrow" w:hAnsi="Arial Narrow"/>
                <w:b w:val="0"/>
                <w:sz w:val="24"/>
                <w:szCs w:val="24"/>
              </w:rPr>
              <w:t xml:space="preserve">Entre 2004 et 2010, plus de la moitié des dépenses informatiques du gouvernement avec des sous-traitants ont été fait avec </w:t>
            </w:r>
            <w:proofErr w:type="spellStart"/>
            <w:r w:rsidRPr="00BA1350">
              <w:rPr>
                <w:rFonts w:ascii="Arial Narrow" w:hAnsi="Arial Narrow"/>
                <w:b w:val="0"/>
                <w:sz w:val="24"/>
                <w:szCs w:val="24"/>
              </w:rPr>
              <w:t>Telus</w:t>
            </w:r>
            <w:proofErr w:type="spellEnd"/>
            <w:r w:rsidRPr="00BA1350">
              <w:rPr>
                <w:rFonts w:ascii="Arial Narrow" w:hAnsi="Arial Narrow"/>
                <w:b w:val="0"/>
                <w:sz w:val="24"/>
                <w:szCs w:val="24"/>
              </w:rPr>
              <w:t>, CGI et DMR</w:t>
            </w:r>
          </w:p>
          <w:p w:rsidR="00BA1350" w:rsidRPr="00BA1350" w:rsidRDefault="00BA1350" w:rsidP="00F36F51">
            <w:pPr>
              <w:spacing w:before="240"/>
              <w:cnfStyle w:val="100000000000"/>
              <w:rPr>
                <w:rFonts w:ascii="Arial Narrow" w:hAnsi="Arial Narrow"/>
                <w:b w:val="0"/>
                <w:sz w:val="24"/>
                <w:szCs w:val="24"/>
              </w:rPr>
            </w:pPr>
            <w:proofErr w:type="spellStart"/>
            <w:r w:rsidRPr="00BA1350">
              <w:rPr>
                <w:rFonts w:ascii="Arial Narrow" w:hAnsi="Arial Narrow"/>
                <w:b w:val="0"/>
                <w:sz w:val="24"/>
                <w:szCs w:val="24"/>
              </w:rPr>
              <w:t>Telus</w:t>
            </w:r>
            <w:proofErr w:type="spellEnd"/>
            <w:r w:rsidRPr="00BA1350">
              <w:rPr>
                <w:rFonts w:ascii="Arial Narrow" w:hAnsi="Arial Narrow"/>
                <w:b w:val="0"/>
                <w:sz w:val="24"/>
                <w:szCs w:val="24"/>
              </w:rPr>
              <w:t xml:space="preserve"> a eu 959 M$ / 3,5 milliards (total des coûts  annuels en TI)</w:t>
            </w:r>
          </w:p>
          <w:p w:rsidR="00BA1350" w:rsidRPr="00BA1350" w:rsidRDefault="00BA1350" w:rsidP="00F36F51">
            <w:pPr>
              <w:spacing w:before="240"/>
              <w:cnfStyle w:val="100000000000"/>
              <w:rPr>
                <w:rFonts w:ascii="Arial Narrow" w:hAnsi="Arial Narrow"/>
                <w:b w:val="0"/>
                <w:sz w:val="24"/>
                <w:szCs w:val="24"/>
              </w:rPr>
            </w:pPr>
            <w:r w:rsidRPr="00BA1350">
              <w:rPr>
                <w:rFonts w:ascii="Arial Narrow" w:hAnsi="Arial Narrow"/>
                <w:b w:val="0"/>
                <w:sz w:val="24"/>
                <w:szCs w:val="24"/>
              </w:rPr>
              <w:t>CGI a eu 483 M$ /3,5 milliards (total des coûts  annuels en TI)</w:t>
            </w:r>
          </w:p>
          <w:p w:rsidR="00BA1350" w:rsidRPr="00BA1350" w:rsidRDefault="00BA1350" w:rsidP="00F36F51">
            <w:pPr>
              <w:spacing w:before="240"/>
              <w:cnfStyle w:val="100000000000"/>
              <w:rPr>
                <w:rFonts w:ascii="Arial Narrow" w:hAnsi="Arial Narrow"/>
                <w:b w:val="0"/>
                <w:sz w:val="24"/>
                <w:szCs w:val="24"/>
              </w:rPr>
            </w:pPr>
            <w:r w:rsidRPr="00BA1350">
              <w:rPr>
                <w:rFonts w:ascii="Arial Narrow" w:hAnsi="Arial Narrow"/>
                <w:b w:val="0"/>
                <w:sz w:val="24"/>
                <w:szCs w:val="24"/>
              </w:rPr>
              <w:t>DMR a eu 430 M$ /3,5 milliards (total des coûts  annuels en TI)</w:t>
            </w:r>
          </w:p>
        </w:tc>
        <w:tc>
          <w:tcPr>
            <w:tcW w:w="470" w:type="pct"/>
          </w:tcPr>
          <w:p w:rsidR="00BA1350" w:rsidRPr="00DD6357" w:rsidRDefault="00BA1350" w:rsidP="00F36F51">
            <w:pPr>
              <w:spacing w:before="240"/>
              <w:cnfStyle w:val="100000000000"/>
              <w:rPr>
                <w:rFonts w:ascii="Arial Narrow" w:hAnsi="Arial Narrow"/>
                <w:b w:val="0"/>
                <w:sz w:val="20"/>
                <w:szCs w:val="20"/>
              </w:rPr>
            </w:pPr>
            <w:r w:rsidRPr="00DD6357">
              <w:rPr>
                <w:rFonts w:ascii="Arial Narrow" w:hAnsi="Arial Narrow"/>
                <w:b w:val="0"/>
                <w:sz w:val="20"/>
                <w:szCs w:val="20"/>
              </w:rPr>
              <w:t>Article de Denis Lessard, La Presse 1</w:t>
            </w:r>
            <w:r w:rsidRPr="00DD6357">
              <w:rPr>
                <w:rFonts w:ascii="Arial Narrow" w:hAnsi="Arial Narrow"/>
                <w:b w:val="0"/>
                <w:sz w:val="20"/>
                <w:szCs w:val="20"/>
                <w:vertAlign w:val="superscript"/>
              </w:rPr>
              <w:t>er</w:t>
            </w:r>
            <w:r w:rsidRPr="00DD6357">
              <w:rPr>
                <w:rFonts w:ascii="Arial Narrow" w:hAnsi="Arial Narrow"/>
                <w:b w:val="0"/>
                <w:sz w:val="20"/>
                <w:szCs w:val="20"/>
              </w:rPr>
              <w:t xml:space="preserve"> juin 2010</w:t>
            </w:r>
          </w:p>
        </w:tc>
      </w:tr>
      <w:tr w:rsidR="00BA1350" w:rsidRPr="00BA1350" w:rsidTr="00DD6357">
        <w:trPr>
          <w:cnfStyle w:val="000000100000"/>
        </w:trPr>
        <w:tc>
          <w:tcPr>
            <w:cnfStyle w:val="001000000000"/>
            <w:tcW w:w="301" w:type="pct"/>
            <w:vMerge/>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A1350" w:rsidRPr="00BA1350" w:rsidRDefault="00BA1350" w:rsidP="00F36F51">
            <w:pPr>
              <w:spacing w:before="240"/>
              <w:rPr>
                <w:rFonts w:ascii="Arial Narrow" w:hAnsi="Arial Narrow"/>
                <w:sz w:val="24"/>
                <w:szCs w:val="24"/>
              </w:rPr>
            </w:pPr>
          </w:p>
        </w:tc>
        <w:tc>
          <w:tcPr>
            <w:tcW w:w="1671" w:type="pct"/>
            <w:tcBorders>
              <w:left w:val="single" w:sz="4" w:space="0" w:color="auto"/>
            </w:tcBorders>
          </w:tcPr>
          <w:p w:rsidR="00DD6357" w:rsidRDefault="00BA1350" w:rsidP="00A24FE8">
            <w:pPr>
              <w:spacing w:before="240"/>
              <w:cnfStyle w:val="000000100000"/>
              <w:rPr>
                <w:rFonts w:ascii="Arial Narrow" w:hAnsi="Arial Narrow"/>
                <w:sz w:val="24"/>
                <w:szCs w:val="24"/>
              </w:rPr>
            </w:pPr>
            <w:r w:rsidRPr="00BA1350">
              <w:rPr>
                <w:rFonts w:ascii="Arial Narrow" w:hAnsi="Arial Narrow"/>
                <w:sz w:val="24"/>
                <w:szCs w:val="24"/>
              </w:rPr>
              <w:t xml:space="preserve">Rapport du vérificateur général du Québec; </w:t>
            </w:r>
          </w:p>
          <w:p w:rsidR="00BA1350" w:rsidRPr="00BA1350" w:rsidRDefault="00BA1350" w:rsidP="00A24FE8">
            <w:pPr>
              <w:cnfStyle w:val="000000100000"/>
              <w:rPr>
                <w:rFonts w:ascii="Arial Narrow" w:hAnsi="Arial Narrow"/>
                <w:sz w:val="24"/>
                <w:szCs w:val="24"/>
              </w:rPr>
            </w:pPr>
            <w:r w:rsidRPr="00BA1350">
              <w:rPr>
                <w:rFonts w:ascii="Arial Narrow" w:hAnsi="Arial Narrow"/>
                <w:sz w:val="24"/>
                <w:szCs w:val="24"/>
              </w:rPr>
              <w:t>Des contrats informatiques mal gérés</w:t>
            </w:r>
          </w:p>
        </w:tc>
        <w:tc>
          <w:tcPr>
            <w:tcW w:w="2558" w:type="pct"/>
          </w:tcPr>
          <w:p w:rsidR="00BA1350" w:rsidRPr="00BA1350" w:rsidRDefault="00BA1350" w:rsidP="00A24FE8">
            <w:pPr>
              <w:spacing w:before="240"/>
              <w:cnfStyle w:val="000000100000"/>
              <w:rPr>
                <w:rFonts w:ascii="Arial Narrow" w:hAnsi="Arial Narrow"/>
                <w:sz w:val="24"/>
                <w:szCs w:val="24"/>
              </w:rPr>
            </w:pPr>
            <w:r w:rsidRPr="00BA1350">
              <w:rPr>
                <w:rFonts w:ascii="Arial Narrow" w:hAnsi="Arial Narrow"/>
                <w:sz w:val="24"/>
                <w:szCs w:val="24"/>
              </w:rPr>
              <w:t>« Il n’a pas constaté d’indices de collusion ou de fraude, et son mandat ne visait pas non plus à en trouver. «Il n’en demeure pas moins qu’il y a des risques importants», car «le jeu de la libre concurrence ne s’exerce pas vraiment. Et on peut se questionner vraiment là-dessus»</w:t>
            </w:r>
            <w:r w:rsidRPr="00BA1350">
              <w:rPr>
                <w:rFonts w:ascii="Arial Narrow" w:hAnsi="Arial Narrow"/>
                <w:sz w:val="24"/>
                <w:szCs w:val="24"/>
              </w:rPr>
              <w:t xml:space="preserve"> </w:t>
            </w:r>
          </w:p>
          <w:p w:rsidR="00BA1350" w:rsidRPr="00BA1350" w:rsidRDefault="00BA1350" w:rsidP="00A24FE8">
            <w:pPr>
              <w:spacing w:before="240"/>
              <w:cnfStyle w:val="000000100000"/>
              <w:rPr>
                <w:rFonts w:ascii="Arial Narrow" w:hAnsi="Arial Narrow"/>
                <w:sz w:val="24"/>
                <w:szCs w:val="24"/>
              </w:rPr>
            </w:pPr>
            <w:r w:rsidRPr="00BA1350">
              <w:rPr>
                <w:rFonts w:ascii="Arial Narrow" w:hAnsi="Arial Narrow"/>
                <w:sz w:val="24"/>
                <w:szCs w:val="24"/>
              </w:rPr>
              <w:t xml:space="preserve">« Trois firmes ont décroché 46% de tous [les contrats informatiques du gouvernement] en 2009-2010 et en 2010-2011. Il s’agit du Groupe LGS, de CGI et de DMR » </w:t>
            </w:r>
          </w:p>
          <w:p w:rsidR="00BA1350" w:rsidRPr="00BA1350" w:rsidRDefault="00BA1350" w:rsidP="00A24FE8">
            <w:pPr>
              <w:spacing w:before="240"/>
              <w:cnfStyle w:val="000000100000"/>
              <w:rPr>
                <w:rFonts w:ascii="Arial Narrow" w:hAnsi="Arial Narrow"/>
                <w:sz w:val="24"/>
                <w:szCs w:val="24"/>
              </w:rPr>
            </w:pPr>
            <w:r w:rsidRPr="00BA1350">
              <w:rPr>
                <w:rFonts w:ascii="Arial Narrow" w:hAnsi="Arial Narrow"/>
                <w:sz w:val="24"/>
                <w:szCs w:val="24"/>
              </w:rPr>
              <w:t xml:space="preserve">«Malgré le recours aux appels d’offres, la concurrence est faible. Pour 17 des 38 contrats analysés, il n’y avait qu’une soumission conforme. En moyenne, il y avait seulement deux soumissions acceptables par contrat ». </w:t>
            </w:r>
          </w:p>
        </w:tc>
        <w:tc>
          <w:tcPr>
            <w:tcW w:w="470" w:type="pct"/>
          </w:tcPr>
          <w:p w:rsidR="00BA1350" w:rsidRPr="00DD6357" w:rsidRDefault="00BA1350" w:rsidP="00A24FE8">
            <w:pPr>
              <w:spacing w:before="240"/>
              <w:cnfStyle w:val="000000100000"/>
              <w:rPr>
                <w:rFonts w:ascii="Arial Narrow" w:hAnsi="Arial Narrow"/>
                <w:sz w:val="20"/>
                <w:szCs w:val="20"/>
              </w:rPr>
            </w:pPr>
            <w:r w:rsidRPr="00DD6357">
              <w:rPr>
                <w:rFonts w:ascii="Arial Narrow" w:hAnsi="Arial Narrow"/>
                <w:sz w:val="20"/>
                <w:szCs w:val="20"/>
              </w:rPr>
              <w:t xml:space="preserve">La Presse, 30 nov. 2012, p. A8, article de Tommy </w:t>
            </w:r>
            <w:proofErr w:type="spellStart"/>
            <w:r w:rsidRPr="00DD6357">
              <w:rPr>
                <w:rFonts w:ascii="Arial Narrow" w:hAnsi="Arial Narrow"/>
                <w:sz w:val="20"/>
                <w:szCs w:val="20"/>
              </w:rPr>
              <w:t>Chouinard</w:t>
            </w:r>
            <w:proofErr w:type="spellEnd"/>
          </w:p>
        </w:tc>
      </w:tr>
      <w:tr w:rsidR="00BA1350" w:rsidRPr="00BA1350" w:rsidTr="00DD6357">
        <w:tc>
          <w:tcPr>
            <w:cnfStyle w:val="001000000000"/>
            <w:tcW w:w="301" w:type="pct"/>
            <w:vMerge/>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A1350" w:rsidRPr="00BA1350" w:rsidRDefault="00BA1350" w:rsidP="00F36F51">
            <w:pPr>
              <w:spacing w:before="240"/>
              <w:rPr>
                <w:rFonts w:ascii="Arial Narrow" w:hAnsi="Arial Narrow"/>
                <w:sz w:val="24"/>
                <w:szCs w:val="24"/>
              </w:rPr>
            </w:pPr>
          </w:p>
        </w:tc>
        <w:tc>
          <w:tcPr>
            <w:tcW w:w="1671" w:type="pct"/>
            <w:tcBorders>
              <w:left w:val="single" w:sz="4" w:space="0" w:color="auto"/>
            </w:tcBorders>
          </w:tcPr>
          <w:p w:rsidR="00BA1350" w:rsidRPr="00BA1350" w:rsidRDefault="00BA1350" w:rsidP="00A24FE8">
            <w:pPr>
              <w:spacing w:before="240"/>
              <w:cnfStyle w:val="000000000000"/>
              <w:rPr>
                <w:rFonts w:ascii="Arial Narrow" w:hAnsi="Arial Narrow"/>
                <w:sz w:val="24"/>
                <w:szCs w:val="24"/>
              </w:rPr>
            </w:pPr>
            <w:r w:rsidRPr="00BA1350">
              <w:rPr>
                <w:rFonts w:ascii="Arial Narrow" w:hAnsi="Arial Narrow"/>
                <w:sz w:val="24"/>
                <w:szCs w:val="24"/>
              </w:rPr>
              <w:t>Technologie de l’information; Un projet tourne au cauchemar; seule au terme d’un processus d’appel d’offres, une entreprise décroche un contrat de 923 millions</w:t>
            </w:r>
          </w:p>
        </w:tc>
        <w:tc>
          <w:tcPr>
            <w:tcW w:w="2558" w:type="pct"/>
          </w:tcPr>
          <w:p w:rsidR="00BA1350" w:rsidRPr="00BA1350" w:rsidRDefault="00BA1350" w:rsidP="00CF7D75">
            <w:pPr>
              <w:spacing w:before="240"/>
              <w:cnfStyle w:val="000000000000"/>
              <w:rPr>
                <w:rFonts w:ascii="Arial Narrow" w:hAnsi="Arial Narrow"/>
                <w:sz w:val="24"/>
                <w:szCs w:val="24"/>
              </w:rPr>
            </w:pPr>
            <w:r w:rsidRPr="00BA1350">
              <w:rPr>
                <w:rFonts w:ascii="Arial Narrow" w:hAnsi="Arial Narrow"/>
                <w:sz w:val="24"/>
                <w:szCs w:val="24"/>
              </w:rPr>
              <w:t>Pour le projet RITEM, la réunification des 2 réseaux de télécommunication du secteur de la santé</w:t>
            </w:r>
          </w:p>
          <w:p w:rsidR="00BA1350" w:rsidRPr="00BA1350" w:rsidRDefault="00BA1350" w:rsidP="00CF7D75">
            <w:pPr>
              <w:spacing w:before="240"/>
              <w:cnfStyle w:val="000000000000"/>
              <w:rPr>
                <w:rFonts w:ascii="Arial Narrow" w:hAnsi="Arial Narrow"/>
                <w:sz w:val="24"/>
                <w:szCs w:val="24"/>
              </w:rPr>
            </w:pPr>
            <w:r w:rsidRPr="00BA1350">
              <w:rPr>
                <w:rFonts w:ascii="Arial Narrow" w:hAnsi="Arial Narrow"/>
                <w:sz w:val="24"/>
                <w:szCs w:val="24"/>
              </w:rPr>
              <w:t xml:space="preserve"> « Québec a accordé le plus important contrat en technologie de l’information de son histoire, même si une seule entreprise s’était rendue au bout du processus d’appel d’offres et en allant à l’encontre des recommandations de ses fonctionnaires »</w:t>
            </w:r>
          </w:p>
        </w:tc>
        <w:tc>
          <w:tcPr>
            <w:tcW w:w="470" w:type="pct"/>
          </w:tcPr>
          <w:p w:rsidR="00BA1350" w:rsidRPr="00DD6357" w:rsidRDefault="00BA1350" w:rsidP="00A24FE8">
            <w:pPr>
              <w:spacing w:before="240"/>
              <w:cnfStyle w:val="000000000000"/>
              <w:rPr>
                <w:rFonts w:ascii="Arial Narrow" w:hAnsi="Arial Narrow"/>
                <w:sz w:val="20"/>
                <w:szCs w:val="20"/>
              </w:rPr>
            </w:pPr>
            <w:r w:rsidRPr="00DD6357">
              <w:rPr>
                <w:rFonts w:ascii="Arial Narrow" w:hAnsi="Arial Narrow"/>
                <w:sz w:val="20"/>
                <w:szCs w:val="20"/>
              </w:rPr>
              <w:t>La Presse, 2 juin 2010, article de Denis Lessard</w:t>
            </w:r>
          </w:p>
        </w:tc>
      </w:tr>
    </w:tbl>
    <w:p w:rsidR="00BA1350" w:rsidRDefault="00BA1350">
      <w:pPr>
        <w:rPr>
          <w:rFonts w:ascii="Arial Narrow" w:hAnsi="Arial Narrow"/>
          <w:sz w:val="24"/>
          <w:szCs w:val="24"/>
        </w:rPr>
      </w:pPr>
    </w:p>
    <w:p w:rsidR="00DD6357" w:rsidRPr="00BA1350" w:rsidRDefault="00DD6357">
      <w:pPr>
        <w:rPr>
          <w:rFonts w:ascii="Arial Narrow" w:hAnsi="Arial Narrow"/>
          <w:sz w:val="24"/>
          <w:szCs w:val="24"/>
        </w:rPr>
      </w:pPr>
    </w:p>
    <w:tbl>
      <w:tblPr>
        <w:tblStyle w:val="Grillemoyenne2-Accent3"/>
        <w:tblW w:w="0" w:type="auto"/>
        <w:tblLayout w:type="fixed"/>
        <w:tblLook w:val="04A0"/>
      </w:tblPr>
      <w:tblGrid>
        <w:gridCol w:w="959"/>
        <w:gridCol w:w="4394"/>
        <w:gridCol w:w="6946"/>
        <w:gridCol w:w="1276"/>
      </w:tblGrid>
      <w:tr w:rsidR="00DD6357" w:rsidRPr="00BA1350" w:rsidTr="00DD6357">
        <w:trPr>
          <w:cnfStyle w:val="100000000000"/>
        </w:trPr>
        <w:tc>
          <w:tcPr>
            <w:cnfStyle w:val="001000000100"/>
            <w:tcW w:w="95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tcPr>
          <w:p w:rsidR="00DD6357" w:rsidRPr="00DD6357" w:rsidRDefault="00DD6357" w:rsidP="00DD6357">
            <w:pPr>
              <w:ind w:left="113" w:right="113"/>
              <w:jc w:val="center"/>
              <w:rPr>
                <w:rFonts w:ascii="Arial Narrow" w:hAnsi="Arial Narrow"/>
                <w:color w:val="FFFFFF" w:themeColor="background1"/>
                <w:sz w:val="24"/>
                <w:szCs w:val="24"/>
              </w:rPr>
            </w:pPr>
            <w:r w:rsidRPr="00DD6357">
              <w:rPr>
                <w:rFonts w:ascii="Arial Narrow" w:hAnsi="Arial Narrow"/>
                <w:color w:val="FFFFFF" w:themeColor="background1"/>
                <w:sz w:val="56"/>
                <w:szCs w:val="56"/>
              </w:rPr>
              <w:t>Collusion</w:t>
            </w:r>
          </w:p>
        </w:tc>
        <w:tc>
          <w:tcPr>
            <w:tcW w:w="4394" w:type="dxa"/>
            <w:tcBorders>
              <w:left w:val="single" w:sz="4" w:space="0" w:color="auto"/>
            </w:tcBorders>
          </w:tcPr>
          <w:p w:rsidR="00DD6357" w:rsidRPr="00BA1350" w:rsidRDefault="00DD6357" w:rsidP="00F36F51">
            <w:pPr>
              <w:spacing w:before="240"/>
              <w:cnfStyle w:val="100000000000"/>
              <w:rPr>
                <w:rFonts w:ascii="Arial Narrow" w:hAnsi="Arial Narrow"/>
                <w:sz w:val="24"/>
                <w:szCs w:val="24"/>
              </w:rPr>
            </w:pPr>
            <w:r w:rsidRPr="00BA1350">
              <w:rPr>
                <w:rFonts w:ascii="Arial Narrow" w:hAnsi="Arial Narrow"/>
                <w:sz w:val="24"/>
                <w:szCs w:val="24"/>
              </w:rPr>
              <w:t>Informatique, des cas de collusion ?</w:t>
            </w:r>
          </w:p>
        </w:tc>
        <w:tc>
          <w:tcPr>
            <w:tcW w:w="6946" w:type="dxa"/>
          </w:tcPr>
          <w:p w:rsidR="00DD6357" w:rsidRPr="00DD6357" w:rsidRDefault="00DD6357" w:rsidP="00F36F51">
            <w:pPr>
              <w:spacing w:before="240"/>
              <w:cnfStyle w:val="100000000000"/>
              <w:rPr>
                <w:rFonts w:ascii="Arial Narrow" w:hAnsi="Arial Narrow"/>
                <w:b w:val="0"/>
                <w:bCs w:val="0"/>
                <w:sz w:val="24"/>
                <w:szCs w:val="24"/>
              </w:rPr>
            </w:pPr>
            <w:r w:rsidRPr="00DD6357">
              <w:rPr>
                <w:rFonts w:ascii="Arial Narrow" w:hAnsi="Arial Narrow"/>
                <w:b w:val="0"/>
                <w:bCs w:val="0"/>
                <w:sz w:val="24"/>
                <w:szCs w:val="24"/>
              </w:rPr>
              <w:t xml:space="preserve">« La CSST était présidée par […] Gérard </w:t>
            </w:r>
            <w:proofErr w:type="spellStart"/>
            <w:r w:rsidRPr="00DD6357">
              <w:rPr>
                <w:rFonts w:ascii="Arial Narrow" w:hAnsi="Arial Narrow"/>
                <w:b w:val="0"/>
                <w:bCs w:val="0"/>
                <w:sz w:val="24"/>
                <w:szCs w:val="24"/>
              </w:rPr>
              <w:t>Bibeau</w:t>
            </w:r>
            <w:proofErr w:type="spellEnd"/>
            <w:r w:rsidRPr="00DD6357">
              <w:rPr>
                <w:rFonts w:ascii="Arial Narrow" w:hAnsi="Arial Narrow"/>
                <w:b w:val="0"/>
                <w:bCs w:val="0"/>
                <w:sz w:val="24"/>
                <w:szCs w:val="24"/>
              </w:rPr>
              <w:t xml:space="preserve"> dont l’épouse tait conseillère senior chez DMR. Dès le départ, cette situation pour le moins anormale avait causé des remous au conseil de la CSST, jusqu’à provoquer, plus tard, la démission d’un de ses membres.  »</w:t>
            </w:r>
          </w:p>
          <w:p w:rsidR="00DD6357" w:rsidRDefault="00DD6357" w:rsidP="00F36F51">
            <w:pPr>
              <w:spacing w:before="240"/>
              <w:cnfStyle w:val="100000000000"/>
              <w:rPr>
                <w:rFonts w:ascii="Arial Narrow" w:hAnsi="Arial Narrow"/>
                <w:b w:val="0"/>
                <w:bCs w:val="0"/>
                <w:sz w:val="24"/>
                <w:szCs w:val="24"/>
              </w:rPr>
            </w:pPr>
            <w:r w:rsidRPr="00DD6357">
              <w:rPr>
                <w:rFonts w:ascii="Arial Narrow" w:hAnsi="Arial Narrow"/>
                <w:b w:val="0"/>
                <w:bCs w:val="0"/>
                <w:sz w:val="24"/>
                <w:szCs w:val="24"/>
              </w:rPr>
              <w:t xml:space="preserve">Ministère de la santé « a éliminé tous les soumissionnaires sauf un, Bell </w:t>
            </w:r>
            <w:proofErr w:type="spellStart"/>
            <w:r w:rsidRPr="00DD6357">
              <w:rPr>
                <w:rFonts w:ascii="Arial Narrow" w:hAnsi="Arial Narrow"/>
                <w:b w:val="0"/>
                <w:bCs w:val="0"/>
                <w:sz w:val="24"/>
                <w:szCs w:val="24"/>
              </w:rPr>
              <w:t>Xwaves</w:t>
            </w:r>
            <w:proofErr w:type="spellEnd"/>
            <w:r w:rsidRPr="00DD6357">
              <w:rPr>
                <w:rFonts w:ascii="Arial Narrow" w:hAnsi="Arial Narrow"/>
                <w:b w:val="0"/>
                <w:bCs w:val="0"/>
                <w:sz w:val="24"/>
                <w:szCs w:val="24"/>
              </w:rPr>
              <w:t>, pour de mystérieuses « raisons techniques ».</w:t>
            </w:r>
          </w:p>
          <w:p w:rsidR="00DD6357" w:rsidRPr="00BA1350" w:rsidRDefault="00DD6357" w:rsidP="00F36F51">
            <w:pPr>
              <w:spacing w:before="240"/>
              <w:cnfStyle w:val="100000000000"/>
              <w:rPr>
                <w:rFonts w:ascii="Arial Narrow" w:hAnsi="Arial Narrow"/>
                <w:sz w:val="24"/>
                <w:szCs w:val="24"/>
              </w:rPr>
            </w:pPr>
          </w:p>
        </w:tc>
        <w:tc>
          <w:tcPr>
            <w:tcW w:w="1276" w:type="dxa"/>
          </w:tcPr>
          <w:p w:rsidR="00DD6357" w:rsidRPr="00DD6357" w:rsidRDefault="00DD6357" w:rsidP="00F36F51">
            <w:pPr>
              <w:spacing w:before="240"/>
              <w:cnfStyle w:val="100000000000"/>
              <w:rPr>
                <w:rFonts w:ascii="Arial Narrow" w:hAnsi="Arial Narrow"/>
                <w:sz w:val="20"/>
                <w:szCs w:val="20"/>
              </w:rPr>
            </w:pPr>
            <w:r w:rsidRPr="00DD6357">
              <w:rPr>
                <w:rFonts w:ascii="Arial Narrow" w:hAnsi="Arial Narrow"/>
                <w:b w:val="0"/>
                <w:bCs w:val="0"/>
                <w:sz w:val="20"/>
                <w:szCs w:val="20"/>
              </w:rPr>
              <w:t xml:space="preserve">Jean-Robert </w:t>
            </w:r>
            <w:proofErr w:type="spellStart"/>
            <w:r w:rsidRPr="00DD6357">
              <w:rPr>
                <w:rFonts w:ascii="Arial Narrow" w:hAnsi="Arial Narrow"/>
                <w:b w:val="0"/>
                <w:bCs w:val="0"/>
                <w:sz w:val="20"/>
                <w:szCs w:val="20"/>
              </w:rPr>
              <w:t>Sansfaçon</w:t>
            </w:r>
            <w:proofErr w:type="spellEnd"/>
            <w:r w:rsidRPr="00DD6357">
              <w:rPr>
                <w:rFonts w:ascii="Arial Narrow" w:hAnsi="Arial Narrow"/>
                <w:b w:val="0"/>
                <w:bCs w:val="0"/>
                <w:sz w:val="20"/>
                <w:szCs w:val="20"/>
              </w:rPr>
              <w:t>, Le Devoir, 12 avril 2010</w:t>
            </w:r>
          </w:p>
        </w:tc>
      </w:tr>
      <w:tr w:rsidR="00DD6357" w:rsidRPr="00BA1350" w:rsidTr="00DD6357">
        <w:trPr>
          <w:cnfStyle w:val="000000100000"/>
        </w:trPr>
        <w:tc>
          <w:tcPr>
            <w:cnfStyle w:val="001000000000"/>
            <w:tcW w:w="95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DD6357" w:rsidRPr="00BA1350" w:rsidRDefault="00DD6357" w:rsidP="00F36F51">
            <w:pPr>
              <w:spacing w:before="240"/>
              <w:rPr>
                <w:rFonts w:ascii="Arial Narrow" w:hAnsi="Arial Narrow"/>
                <w:sz w:val="24"/>
                <w:szCs w:val="24"/>
              </w:rPr>
            </w:pPr>
          </w:p>
        </w:tc>
        <w:tc>
          <w:tcPr>
            <w:tcW w:w="4394" w:type="dxa"/>
            <w:tcBorders>
              <w:left w:val="single" w:sz="4" w:space="0" w:color="auto"/>
            </w:tcBorders>
          </w:tcPr>
          <w:p w:rsidR="00DD6357" w:rsidRPr="00BA1350" w:rsidRDefault="00DD6357" w:rsidP="00CF7D75">
            <w:pPr>
              <w:spacing w:before="240"/>
              <w:cnfStyle w:val="000000100000"/>
              <w:rPr>
                <w:rFonts w:ascii="Arial Narrow" w:hAnsi="Arial Narrow"/>
                <w:sz w:val="24"/>
                <w:szCs w:val="24"/>
              </w:rPr>
            </w:pPr>
            <w:r w:rsidRPr="00BA1350">
              <w:rPr>
                <w:rFonts w:ascii="Arial Narrow" w:hAnsi="Arial Narrow"/>
                <w:sz w:val="24"/>
                <w:szCs w:val="24"/>
              </w:rPr>
              <w:t>Contrats informatiques : des « lacunes » importantes</w:t>
            </w:r>
          </w:p>
        </w:tc>
        <w:tc>
          <w:tcPr>
            <w:tcW w:w="6946" w:type="dxa"/>
          </w:tcPr>
          <w:p w:rsidR="00DD6357" w:rsidRDefault="00DD6357" w:rsidP="00F36F51">
            <w:pPr>
              <w:spacing w:before="240"/>
              <w:cnfStyle w:val="000000100000"/>
              <w:rPr>
                <w:rFonts w:ascii="Arial Narrow" w:hAnsi="Arial Narrow"/>
                <w:sz w:val="24"/>
                <w:szCs w:val="24"/>
              </w:rPr>
            </w:pPr>
            <w:r w:rsidRPr="00BA1350">
              <w:rPr>
                <w:rFonts w:ascii="Arial Narrow" w:hAnsi="Arial Narrow"/>
                <w:sz w:val="24"/>
                <w:szCs w:val="24"/>
              </w:rPr>
              <w:t xml:space="preserve">«On a trop d’indices présentement de manque de rigueur ou de manque de saine gestion pour qu’on ne passe pas à une autre étape pour corriger la situation», a laissé tomber Michel Samson </w:t>
            </w:r>
            <w:r>
              <w:rPr>
                <w:rFonts w:ascii="Arial Narrow" w:hAnsi="Arial Narrow"/>
                <w:sz w:val="24"/>
                <w:szCs w:val="24"/>
              </w:rPr>
              <w:t>(VG du Québec novembre 2012)</w:t>
            </w:r>
          </w:p>
          <w:p w:rsidR="00DD6357" w:rsidRPr="00BA1350" w:rsidRDefault="00DD6357" w:rsidP="00F36F51">
            <w:pPr>
              <w:spacing w:before="240"/>
              <w:cnfStyle w:val="000000100000"/>
              <w:rPr>
                <w:rFonts w:ascii="Arial Narrow" w:hAnsi="Arial Narrow"/>
                <w:sz w:val="24"/>
                <w:szCs w:val="24"/>
              </w:rPr>
            </w:pPr>
          </w:p>
        </w:tc>
        <w:tc>
          <w:tcPr>
            <w:tcW w:w="1276" w:type="dxa"/>
          </w:tcPr>
          <w:p w:rsidR="00DD6357" w:rsidRPr="00DD6357" w:rsidRDefault="00DD6357" w:rsidP="00DD6357">
            <w:pPr>
              <w:spacing w:before="240"/>
              <w:cnfStyle w:val="000000100000"/>
              <w:rPr>
                <w:rFonts w:ascii="Arial Narrow" w:hAnsi="Arial Narrow"/>
                <w:sz w:val="20"/>
                <w:szCs w:val="20"/>
              </w:rPr>
            </w:pPr>
            <w:r w:rsidRPr="00DD6357">
              <w:rPr>
                <w:rFonts w:ascii="Arial Narrow" w:hAnsi="Arial Narrow"/>
                <w:sz w:val="20"/>
                <w:szCs w:val="20"/>
              </w:rPr>
              <w:t>Le Soleil, 30 nov. 2012, article de Simon Boivin</w:t>
            </w:r>
          </w:p>
        </w:tc>
      </w:tr>
      <w:tr w:rsidR="00DD6357" w:rsidRPr="00BA1350" w:rsidTr="00DD6357">
        <w:tc>
          <w:tcPr>
            <w:cnfStyle w:val="001000000000"/>
            <w:tcW w:w="95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DD6357" w:rsidRPr="00BA1350" w:rsidRDefault="00DD6357" w:rsidP="00F36F51">
            <w:pPr>
              <w:spacing w:before="240"/>
              <w:rPr>
                <w:rFonts w:ascii="Arial Narrow" w:hAnsi="Arial Narrow"/>
                <w:sz w:val="24"/>
                <w:szCs w:val="24"/>
              </w:rPr>
            </w:pPr>
          </w:p>
        </w:tc>
        <w:tc>
          <w:tcPr>
            <w:tcW w:w="4394" w:type="dxa"/>
            <w:tcBorders>
              <w:left w:val="single" w:sz="4" w:space="0" w:color="auto"/>
            </w:tcBorders>
          </w:tcPr>
          <w:p w:rsidR="00DD6357" w:rsidRPr="00BA1350" w:rsidRDefault="00DD6357" w:rsidP="00DD6357">
            <w:pPr>
              <w:spacing w:before="240"/>
              <w:cnfStyle w:val="000000000000"/>
              <w:rPr>
                <w:rFonts w:ascii="Arial Narrow" w:hAnsi="Arial Narrow"/>
                <w:sz w:val="24"/>
                <w:szCs w:val="24"/>
              </w:rPr>
            </w:pPr>
            <w:r w:rsidRPr="00BA1350">
              <w:rPr>
                <w:rFonts w:ascii="Arial Narrow" w:hAnsi="Arial Narrow"/>
                <w:sz w:val="24"/>
                <w:szCs w:val="24"/>
              </w:rPr>
              <w:t>Trop de contrats à soumissionnaire unique, selon le dép</w:t>
            </w:r>
            <w:r>
              <w:rPr>
                <w:rFonts w:ascii="Arial Narrow" w:hAnsi="Arial Narrow"/>
                <w:sz w:val="24"/>
                <w:szCs w:val="24"/>
              </w:rPr>
              <w:t>u</w:t>
            </w:r>
            <w:r w:rsidRPr="00BA1350">
              <w:rPr>
                <w:rFonts w:ascii="Arial Narrow" w:hAnsi="Arial Narrow"/>
                <w:sz w:val="24"/>
                <w:szCs w:val="24"/>
              </w:rPr>
              <w:t>té péquiste Sylvain Simard</w:t>
            </w:r>
          </w:p>
        </w:tc>
        <w:tc>
          <w:tcPr>
            <w:tcW w:w="6946" w:type="dxa"/>
          </w:tcPr>
          <w:p w:rsidR="00DD6357" w:rsidRDefault="00DD6357" w:rsidP="00F36F51">
            <w:pPr>
              <w:spacing w:before="240"/>
              <w:cnfStyle w:val="000000000000"/>
              <w:rPr>
                <w:rFonts w:ascii="Arial Narrow" w:hAnsi="Arial Narrow"/>
                <w:sz w:val="24"/>
                <w:szCs w:val="24"/>
              </w:rPr>
            </w:pPr>
            <w:r w:rsidRPr="00BA1350">
              <w:rPr>
                <w:rFonts w:ascii="Arial Narrow" w:hAnsi="Arial Narrow"/>
                <w:sz w:val="24"/>
                <w:szCs w:val="24"/>
              </w:rPr>
              <w:t>« Nous retrouvons sans arrêt, des contrats informatiques à soumissionnaire unique«, s’est-il plaint. Souvent, il retrouve trois soumissionnaires et deux d’entre eux ne sont pas conformes. Il n’y a jamais de contestation et les gens ne semblent jamais s’en plaindre, a-t-il fait remarquer</w:t>
            </w:r>
          </w:p>
          <w:p w:rsidR="00DD6357" w:rsidRPr="00BA1350" w:rsidRDefault="00DD6357" w:rsidP="00F36F51">
            <w:pPr>
              <w:spacing w:before="240"/>
              <w:cnfStyle w:val="000000000000"/>
              <w:rPr>
                <w:rFonts w:ascii="Arial Narrow" w:hAnsi="Arial Narrow"/>
                <w:sz w:val="24"/>
                <w:szCs w:val="24"/>
              </w:rPr>
            </w:pPr>
          </w:p>
        </w:tc>
        <w:tc>
          <w:tcPr>
            <w:tcW w:w="1276" w:type="dxa"/>
          </w:tcPr>
          <w:p w:rsidR="00DD6357" w:rsidRPr="00DD6357" w:rsidRDefault="00DD6357" w:rsidP="00DD6357">
            <w:pPr>
              <w:spacing w:before="240"/>
              <w:cnfStyle w:val="000000000000"/>
              <w:rPr>
                <w:rFonts w:ascii="Arial Narrow" w:hAnsi="Arial Narrow"/>
                <w:sz w:val="20"/>
                <w:szCs w:val="20"/>
              </w:rPr>
            </w:pPr>
            <w:r>
              <w:rPr>
                <w:rFonts w:ascii="Arial Narrow" w:hAnsi="Arial Narrow"/>
                <w:sz w:val="20"/>
                <w:szCs w:val="20"/>
              </w:rPr>
              <w:t>Courrier Parlementaire</w:t>
            </w:r>
            <w:r w:rsidRPr="00DD6357">
              <w:rPr>
                <w:rFonts w:ascii="Arial Narrow" w:hAnsi="Arial Narrow"/>
                <w:sz w:val="20"/>
                <w:szCs w:val="20"/>
              </w:rPr>
              <w:t xml:space="preserve"> 30 avril 2010</w:t>
            </w:r>
          </w:p>
        </w:tc>
      </w:tr>
    </w:tbl>
    <w:p w:rsidR="00DD6357" w:rsidRDefault="00DD6357"/>
    <w:p w:rsidR="00DD6357" w:rsidRDefault="00DD6357">
      <w:r>
        <w:br w:type="page"/>
      </w:r>
    </w:p>
    <w:tbl>
      <w:tblPr>
        <w:tblStyle w:val="Grillemoyenne2-Accent3"/>
        <w:tblW w:w="14000" w:type="dxa"/>
        <w:tblLayout w:type="fixed"/>
        <w:tblLook w:val="04A0"/>
      </w:tblPr>
      <w:tblGrid>
        <w:gridCol w:w="675"/>
        <w:gridCol w:w="1985"/>
        <w:gridCol w:w="9355"/>
        <w:gridCol w:w="1985"/>
      </w:tblGrid>
      <w:tr w:rsidR="002F107F" w:rsidRPr="00BA1350" w:rsidTr="002F107F">
        <w:trPr>
          <w:cnfStyle w:val="100000000000"/>
        </w:trPr>
        <w:tc>
          <w:tcPr>
            <w:cnfStyle w:val="001000000100"/>
            <w:tcW w:w="675" w:type="dxa"/>
            <w:vMerge w:val="restart"/>
            <w:tcBorders>
              <w:top w:val="single" w:sz="4" w:space="0" w:color="auto"/>
              <w:left w:val="single" w:sz="4" w:space="0" w:color="auto"/>
              <w:right w:val="single" w:sz="4" w:space="0" w:color="auto"/>
            </w:tcBorders>
            <w:shd w:val="clear" w:color="auto" w:fill="76923C" w:themeFill="accent3" w:themeFillShade="BF"/>
            <w:textDirection w:val="btLr"/>
          </w:tcPr>
          <w:p w:rsidR="002F107F" w:rsidRPr="00DD6357" w:rsidRDefault="002F107F" w:rsidP="00DD6357">
            <w:pPr>
              <w:ind w:left="113" w:right="113"/>
              <w:jc w:val="center"/>
              <w:rPr>
                <w:rFonts w:ascii="Arial Narrow" w:hAnsi="Arial Narrow"/>
                <w:sz w:val="36"/>
                <w:szCs w:val="36"/>
              </w:rPr>
            </w:pPr>
            <w:r w:rsidRPr="00DD6357">
              <w:rPr>
                <w:rFonts w:ascii="Arial Narrow" w:hAnsi="Arial Narrow"/>
                <w:color w:val="FFFFFF" w:themeColor="background1"/>
                <w:sz w:val="36"/>
                <w:szCs w:val="36"/>
              </w:rPr>
              <w:lastRenderedPageBreak/>
              <w:t>Dépendance du gouvernement envers les firmes privées</w:t>
            </w:r>
          </w:p>
        </w:tc>
        <w:tc>
          <w:tcPr>
            <w:tcW w:w="1985" w:type="dxa"/>
            <w:tcBorders>
              <w:left w:val="single" w:sz="4" w:space="0" w:color="auto"/>
            </w:tcBorders>
          </w:tcPr>
          <w:p w:rsidR="002F107F" w:rsidRPr="002F107F" w:rsidRDefault="002F107F" w:rsidP="00F36F51">
            <w:pPr>
              <w:spacing w:before="240"/>
              <w:cnfStyle w:val="100000000000"/>
              <w:rPr>
                <w:rFonts w:ascii="Arial Narrow" w:hAnsi="Arial Narrow"/>
                <w:b w:val="0"/>
                <w:bCs w:val="0"/>
              </w:rPr>
            </w:pPr>
            <w:r w:rsidRPr="002F107F">
              <w:rPr>
                <w:rFonts w:ascii="Arial Narrow" w:hAnsi="Arial Narrow"/>
                <w:b w:val="0"/>
                <w:bCs w:val="0"/>
              </w:rPr>
              <w:t>Gestion informatique : le gouvernement s’est trop tourné vers le privé, convient la ministre Courchesne</w:t>
            </w:r>
          </w:p>
        </w:tc>
        <w:tc>
          <w:tcPr>
            <w:tcW w:w="9355" w:type="dxa"/>
          </w:tcPr>
          <w:p w:rsidR="002F107F" w:rsidRPr="002F107F" w:rsidRDefault="002F107F" w:rsidP="00F36F51">
            <w:pPr>
              <w:spacing w:before="240"/>
              <w:cnfStyle w:val="100000000000"/>
              <w:rPr>
                <w:rFonts w:ascii="Arial Narrow" w:hAnsi="Arial Narrow"/>
                <w:b w:val="0"/>
                <w:bCs w:val="0"/>
              </w:rPr>
            </w:pPr>
            <w:r w:rsidRPr="002F107F">
              <w:rPr>
                <w:rFonts w:ascii="Arial Narrow" w:hAnsi="Arial Narrow"/>
                <w:b w:val="0"/>
                <w:bCs w:val="0"/>
              </w:rPr>
              <w:t>La série d’échecs s’expliquerait par le fait que «nous n’avons plus dans la plupart des ministères et organismes lorsqu’arrive le défi de définir les besoins et de préparer l’architecture d’un projet, il n’y a plus de compétences sur place», affirme le député de Richelieu [Sylvain Simard, PQ]</w:t>
            </w:r>
          </w:p>
        </w:tc>
        <w:tc>
          <w:tcPr>
            <w:tcW w:w="1985" w:type="dxa"/>
          </w:tcPr>
          <w:p w:rsidR="002F107F" w:rsidRPr="00DD6357" w:rsidRDefault="002F107F" w:rsidP="00F36F51">
            <w:pPr>
              <w:spacing w:before="240"/>
              <w:cnfStyle w:val="100000000000"/>
              <w:rPr>
                <w:rFonts w:ascii="Arial Narrow" w:hAnsi="Arial Narrow"/>
                <w:b w:val="0"/>
                <w:bCs w:val="0"/>
                <w:sz w:val="20"/>
                <w:szCs w:val="20"/>
              </w:rPr>
            </w:pPr>
            <w:r w:rsidRPr="00DD6357">
              <w:rPr>
                <w:rFonts w:ascii="Arial Narrow" w:hAnsi="Arial Narrow"/>
                <w:b w:val="0"/>
                <w:bCs w:val="0"/>
                <w:sz w:val="20"/>
                <w:szCs w:val="20"/>
              </w:rPr>
              <w:t>Le Courrier parlementaire, 8 avril 2011</w:t>
            </w:r>
          </w:p>
        </w:tc>
      </w:tr>
      <w:tr w:rsidR="002F107F" w:rsidRPr="00BA1350" w:rsidTr="002F107F">
        <w:trPr>
          <w:cnfStyle w:val="000000100000"/>
        </w:trPr>
        <w:tc>
          <w:tcPr>
            <w:cnfStyle w:val="001000000000"/>
            <w:tcW w:w="675" w:type="dxa"/>
            <w:vMerge/>
            <w:tcBorders>
              <w:left w:val="single" w:sz="4" w:space="0" w:color="auto"/>
              <w:right w:val="single" w:sz="4" w:space="0" w:color="auto"/>
            </w:tcBorders>
            <w:shd w:val="clear" w:color="auto" w:fill="76923C" w:themeFill="accent3" w:themeFillShade="BF"/>
          </w:tcPr>
          <w:p w:rsidR="002F107F" w:rsidRPr="00BA1350" w:rsidRDefault="002F107F" w:rsidP="00B00756">
            <w:pPr>
              <w:spacing w:before="240"/>
              <w:rPr>
                <w:rFonts w:ascii="Arial Narrow" w:hAnsi="Arial Narrow"/>
                <w:sz w:val="24"/>
                <w:szCs w:val="24"/>
              </w:rPr>
            </w:pPr>
          </w:p>
        </w:tc>
        <w:tc>
          <w:tcPr>
            <w:tcW w:w="1985" w:type="dxa"/>
            <w:tcBorders>
              <w:left w:val="single" w:sz="4" w:space="0" w:color="auto"/>
            </w:tcBorders>
          </w:tcPr>
          <w:p w:rsidR="002F107F" w:rsidRPr="002F107F" w:rsidRDefault="002F107F" w:rsidP="00DD6357">
            <w:pPr>
              <w:spacing w:before="240"/>
              <w:cnfStyle w:val="000000100000"/>
              <w:rPr>
                <w:rFonts w:ascii="Arial Narrow" w:hAnsi="Arial Narrow"/>
              </w:rPr>
            </w:pPr>
            <w:r w:rsidRPr="002F107F">
              <w:rPr>
                <w:rFonts w:ascii="Arial Narrow" w:hAnsi="Arial Narrow"/>
              </w:rPr>
              <w:t xml:space="preserve">Le gouvernement a dépassé le seuil du 50 % </w:t>
            </w:r>
          </w:p>
        </w:tc>
        <w:tc>
          <w:tcPr>
            <w:tcW w:w="9355" w:type="dxa"/>
          </w:tcPr>
          <w:p w:rsidR="002F107F" w:rsidRPr="002F107F" w:rsidRDefault="002F107F" w:rsidP="00B00756">
            <w:pPr>
              <w:spacing w:before="240"/>
              <w:cnfStyle w:val="000000100000"/>
              <w:rPr>
                <w:rFonts w:ascii="Arial Narrow" w:hAnsi="Arial Narrow"/>
              </w:rPr>
            </w:pPr>
            <w:r w:rsidRPr="002F107F">
              <w:rPr>
                <w:rFonts w:ascii="Arial Narrow" w:hAnsi="Arial Narrow"/>
              </w:rPr>
              <w:t>En 2008-2009, le % des dépenses en RI liées à des ressources externes était de 52% dans la fonction publique québécoise, alors que ce pourcentage s’est maintenu de 8 à 24% pour les gouvernements de niveau provincial et les États dans le monde.</w:t>
            </w:r>
          </w:p>
        </w:tc>
        <w:tc>
          <w:tcPr>
            <w:tcW w:w="1985" w:type="dxa"/>
          </w:tcPr>
          <w:p w:rsidR="002F107F" w:rsidRPr="00DD6357" w:rsidRDefault="002F107F" w:rsidP="002F107F">
            <w:pPr>
              <w:spacing w:before="240"/>
              <w:cnfStyle w:val="000000100000"/>
              <w:rPr>
                <w:rFonts w:ascii="Arial Narrow" w:hAnsi="Arial Narrow"/>
                <w:sz w:val="20"/>
                <w:szCs w:val="20"/>
              </w:rPr>
            </w:pPr>
            <w:r w:rsidRPr="00DD6357">
              <w:rPr>
                <w:rFonts w:ascii="Arial Narrow" w:hAnsi="Arial Narrow"/>
                <w:sz w:val="20"/>
                <w:szCs w:val="20"/>
              </w:rPr>
              <w:t xml:space="preserve">Rapport du VG du </w:t>
            </w:r>
            <w:proofErr w:type="spellStart"/>
            <w:r w:rsidRPr="00DD6357">
              <w:rPr>
                <w:rFonts w:ascii="Arial Narrow" w:hAnsi="Arial Narrow"/>
                <w:sz w:val="20"/>
                <w:szCs w:val="20"/>
              </w:rPr>
              <w:t>Qc</w:t>
            </w:r>
            <w:proofErr w:type="spellEnd"/>
            <w:r w:rsidRPr="00DD6357">
              <w:rPr>
                <w:rFonts w:ascii="Arial Narrow" w:hAnsi="Arial Narrow"/>
                <w:sz w:val="20"/>
                <w:szCs w:val="20"/>
              </w:rPr>
              <w:t xml:space="preserve">, </w:t>
            </w:r>
            <w:r>
              <w:rPr>
                <w:rFonts w:ascii="Arial Narrow" w:hAnsi="Arial Narrow"/>
                <w:sz w:val="20"/>
                <w:szCs w:val="20"/>
              </w:rPr>
              <w:t>nov.</w:t>
            </w:r>
            <w:r w:rsidRPr="00DD6357">
              <w:rPr>
                <w:rFonts w:ascii="Arial Narrow" w:hAnsi="Arial Narrow"/>
                <w:sz w:val="20"/>
                <w:szCs w:val="20"/>
              </w:rPr>
              <w:t xml:space="preserve"> 2012</w:t>
            </w:r>
            <w:r>
              <w:rPr>
                <w:rFonts w:ascii="Arial Narrow" w:hAnsi="Arial Narrow"/>
                <w:sz w:val="20"/>
                <w:szCs w:val="20"/>
              </w:rPr>
              <w:t xml:space="preserve">, </w:t>
            </w:r>
            <w:r w:rsidRPr="00DD6357">
              <w:rPr>
                <w:rFonts w:ascii="Arial Narrow" w:hAnsi="Arial Narrow"/>
                <w:sz w:val="20"/>
                <w:szCs w:val="20"/>
              </w:rPr>
              <w:t>chapitre 5 </w:t>
            </w:r>
          </w:p>
        </w:tc>
      </w:tr>
      <w:tr w:rsidR="002F107F" w:rsidRPr="00BA1350" w:rsidTr="002F107F">
        <w:tc>
          <w:tcPr>
            <w:cnfStyle w:val="001000000000"/>
            <w:tcW w:w="675" w:type="dxa"/>
            <w:vMerge/>
            <w:tcBorders>
              <w:left w:val="single" w:sz="4" w:space="0" w:color="auto"/>
              <w:right w:val="single" w:sz="4" w:space="0" w:color="auto"/>
            </w:tcBorders>
            <w:shd w:val="clear" w:color="auto" w:fill="76923C" w:themeFill="accent3" w:themeFillShade="BF"/>
          </w:tcPr>
          <w:p w:rsidR="002F107F" w:rsidRPr="00BA1350" w:rsidRDefault="002F107F" w:rsidP="00B00756">
            <w:pPr>
              <w:spacing w:before="240"/>
              <w:rPr>
                <w:rFonts w:ascii="Arial Narrow" w:hAnsi="Arial Narrow"/>
                <w:sz w:val="24"/>
                <w:szCs w:val="24"/>
              </w:rPr>
            </w:pPr>
          </w:p>
        </w:tc>
        <w:tc>
          <w:tcPr>
            <w:tcW w:w="1985" w:type="dxa"/>
            <w:tcBorders>
              <w:left w:val="single" w:sz="4" w:space="0" w:color="auto"/>
            </w:tcBorders>
          </w:tcPr>
          <w:p w:rsidR="002F107F" w:rsidRPr="002F107F" w:rsidRDefault="002F107F" w:rsidP="00EB0435">
            <w:pPr>
              <w:spacing w:before="240"/>
              <w:cnfStyle w:val="000000000000"/>
              <w:rPr>
                <w:rFonts w:ascii="Arial Narrow" w:hAnsi="Arial Narrow"/>
              </w:rPr>
            </w:pPr>
          </w:p>
        </w:tc>
        <w:tc>
          <w:tcPr>
            <w:tcW w:w="9355" w:type="dxa"/>
          </w:tcPr>
          <w:p w:rsidR="002F107F" w:rsidRPr="002F107F" w:rsidRDefault="002F107F" w:rsidP="00EB0435">
            <w:pPr>
              <w:spacing w:before="240"/>
              <w:cnfStyle w:val="000000000000"/>
              <w:rPr>
                <w:rFonts w:ascii="Arial Narrow" w:hAnsi="Arial Narrow"/>
              </w:rPr>
            </w:pPr>
            <w:r w:rsidRPr="002F107F">
              <w:rPr>
                <w:rFonts w:ascii="Arial Narrow" w:hAnsi="Arial Narrow"/>
              </w:rPr>
              <w:t>La proportion des dépenses consacrées aux ressources externes par rapport à celles affectées aux deux types de ressources, soit internes et externes, a plus que doublé depuis 1996-1997 puisqu’elle est passée de 26% à 55%</w:t>
            </w:r>
            <w:r w:rsidRPr="002F107F">
              <w:rPr>
                <w:rStyle w:val="Appeldenotedefin"/>
                <w:rFonts w:ascii="Arial Narrow" w:hAnsi="Arial Narrow"/>
              </w:rPr>
              <w:endnoteReference w:id="1"/>
            </w:r>
          </w:p>
        </w:tc>
        <w:tc>
          <w:tcPr>
            <w:tcW w:w="1985" w:type="dxa"/>
          </w:tcPr>
          <w:p w:rsidR="002F107F" w:rsidRPr="002F107F" w:rsidRDefault="002F107F" w:rsidP="002F107F">
            <w:pPr>
              <w:spacing w:before="240"/>
              <w:cnfStyle w:val="000000000000"/>
              <w:rPr>
                <w:rFonts w:ascii="Arial Narrow" w:hAnsi="Arial Narrow"/>
                <w:sz w:val="16"/>
                <w:szCs w:val="16"/>
              </w:rPr>
            </w:pPr>
            <w:r w:rsidRPr="002F107F">
              <w:rPr>
                <w:rFonts w:ascii="Arial Narrow" w:hAnsi="Arial Narrow"/>
                <w:sz w:val="16"/>
                <w:szCs w:val="16"/>
              </w:rPr>
              <w:t xml:space="preserve">Courrier </w:t>
            </w:r>
            <w:proofErr w:type="spellStart"/>
            <w:r w:rsidRPr="002F107F">
              <w:rPr>
                <w:rFonts w:ascii="Arial Narrow" w:hAnsi="Arial Narrow"/>
                <w:sz w:val="16"/>
                <w:szCs w:val="16"/>
              </w:rPr>
              <w:t>Parl</w:t>
            </w:r>
            <w:proofErr w:type="spellEnd"/>
            <w:r w:rsidRPr="002F107F">
              <w:rPr>
                <w:rFonts w:ascii="Arial Narrow" w:hAnsi="Arial Narrow"/>
                <w:sz w:val="16"/>
                <w:szCs w:val="16"/>
              </w:rPr>
              <w:t>.</w:t>
            </w:r>
            <w:r w:rsidRPr="002F107F">
              <w:rPr>
                <w:rFonts w:ascii="Arial Narrow" w:hAnsi="Arial Narrow"/>
                <w:sz w:val="16"/>
                <w:szCs w:val="16"/>
              </w:rPr>
              <w:t xml:space="preserve"> 30 </w:t>
            </w:r>
            <w:r w:rsidRPr="002F107F">
              <w:rPr>
                <w:rFonts w:ascii="Arial Narrow" w:hAnsi="Arial Narrow"/>
                <w:sz w:val="16"/>
                <w:szCs w:val="16"/>
              </w:rPr>
              <w:t>nov.</w:t>
            </w:r>
            <w:r w:rsidRPr="002F107F">
              <w:rPr>
                <w:rFonts w:ascii="Arial Narrow" w:hAnsi="Arial Narrow"/>
                <w:sz w:val="16"/>
                <w:szCs w:val="16"/>
              </w:rPr>
              <w:t xml:space="preserve"> 2012. « Rapport du </w:t>
            </w:r>
            <w:r w:rsidRPr="002F107F">
              <w:rPr>
                <w:rFonts w:ascii="Arial Narrow" w:hAnsi="Arial Narrow"/>
                <w:sz w:val="16"/>
                <w:szCs w:val="16"/>
              </w:rPr>
              <w:t>VG</w:t>
            </w:r>
            <w:r w:rsidRPr="002F107F">
              <w:rPr>
                <w:rFonts w:ascii="Arial Narrow" w:hAnsi="Arial Narrow"/>
                <w:sz w:val="16"/>
                <w:szCs w:val="16"/>
              </w:rPr>
              <w:t>; Beaucoup de ressources externes embauchées</w:t>
            </w:r>
            <w:r w:rsidRPr="002F107F">
              <w:rPr>
                <w:rFonts w:ascii="Arial Narrow" w:hAnsi="Arial Narrow"/>
                <w:sz w:val="16"/>
                <w:szCs w:val="16"/>
              </w:rPr>
              <w:t xml:space="preserve"> »</w:t>
            </w:r>
            <w:r w:rsidRPr="002F107F">
              <w:rPr>
                <w:rFonts w:ascii="Arial Narrow" w:hAnsi="Arial Narrow"/>
                <w:sz w:val="16"/>
                <w:szCs w:val="16"/>
              </w:rPr>
              <w:t xml:space="preserve"> </w:t>
            </w:r>
          </w:p>
        </w:tc>
      </w:tr>
      <w:tr w:rsidR="002F107F" w:rsidRPr="00BA1350" w:rsidTr="002F107F">
        <w:trPr>
          <w:cnfStyle w:val="000000100000"/>
        </w:trPr>
        <w:tc>
          <w:tcPr>
            <w:cnfStyle w:val="001000000000"/>
            <w:tcW w:w="675" w:type="dxa"/>
            <w:vMerge/>
            <w:tcBorders>
              <w:left w:val="single" w:sz="4" w:space="0" w:color="auto"/>
              <w:right w:val="single" w:sz="4" w:space="0" w:color="auto"/>
            </w:tcBorders>
            <w:shd w:val="clear" w:color="auto" w:fill="76923C" w:themeFill="accent3" w:themeFillShade="BF"/>
          </w:tcPr>
          <w:p w:rsidR="002F107F" w:rsidRPr="00BA1350" w:rsidRDefault="002F107F" w:rsidP="00B00756">
            <w:pPr>
              <w:spacing w:before="240"/>
              <w:rPr>
                <w:rFonts w:ascii="Arial Narrow" w:hAnsi="Arial Narrow"/>
                <w:sz w:val="24"/>
                <w:szCs w:val="24"/>
              </w:rPr>
            </w:pPr>
          </w:p>
        </w:tc>
        <w:tc>
          <w:tcPr>
            <w:tcW w:w="1985" w:type="dxa"/>
            <w:tcBorders>
              <w:left w:val="single" w:sz="4" w:space="0" w:color="auto"/>
            </w:tcBorders>
          </w:tcPr>
          <w:p w:rsidR="002F107F" w:rsidRPr="002F107F" w:rsidRDefault="002F107F" w:rsidP="00B00756">
            <w:pPr>
              <w:spacing w:before="240"/>
              <w:cnfStyle w:val="000000100000"/>
              <w:rPr>
                <w:rFonts w:ascii="Arial Narrow" w:hAnsi="Arial Narrow"/>
              </w:rPr>
            </w:pPr>
            <w:r w:rsidRPr="002F107F">
              <w:rPr>
                <w:rFonts w:ascii="Arial Narrow" w:hAnsi="Arial Narrow"/>
              </w:rPr>
              <w:t>La CARRA accorde pour 28M$ de nouveaux contrats à des firmes informatiques de sous-traitants depuis janvier 2012; Vache à lait pour l’externe</w:t>
            </w:r>
          </w:p>
        </w:tc>
        <w:tc>
          <w:tcPr>
            <w:tcW w:w="9355" w:type="dxa"/>
          </w:tcPr>
          <w:p w:rsidR="002F107F" w:rsidRPr="002F107F" w:rsidRDefault="002F107F" w:rsidP="00B00756">
            <w:pPr>
              <w:spacing w:before="240"/>
              <w:cnfStyle w:val="000000100000"/>
              <w:rPr>
                <w:rFonts w:ascii="Arial Narrow" w:hAnsi="Arial Narrow"/>
              </w:rPr>
            </w:pPr>
            <w:r w:rsidRPr="002F107F">
              <w:rPr>
                <w:rFonts w:ascii="Arial Narrow" w:hAnsi="Arial Narrow"/>
              </w:rPr>
              <w:t>Deux ans après l’implantation d’un coûteux système informatique, qui a connu des ratés, la CARRA a accordé de nouveaux contrats totalisant 28 M$</w:t>
            </w:r>
          </w:p>
          <w:p w:rsidR="002F107F" w:rsidRPr="002F107F" w:rsidRDefault="002F107F" w:rsidP="00B00756">
            <w:pPr>
              <w:spacing w:before="240"/>
              <w:cnfStyle w:val="000000100000"/>
              <w:rPr>
                <w:rFonts w:ascii="Arial Narrow" w:hAnsi="Arial Narrow"/>
              </w:rPr>
            </w:pPr>
            <w:r w:rsidRPr="002F107F">
              <w:rPr>
                <w:rFonts w:ascii="Arial Narrow" w:hAnsi="Arial Narrow"/>
              </w:rPr>
              <w:t xml:space="preserve">La CARRA soutient qu’elle n’a pas le choix de faire appel à des firmes externes, malgré le fait qu’elle dispose d’une équipe spécialisée en informatique à l’interne de 113 personnes […] « Ce sont des contrats spécifiques qui concernent des secteurs très complexes et l’expertise que l’on a n’est pas suffisante« a expliqué Marie Gagnon, VP à l’administration. </w:t>
            </w:r>
          </w:p>
          <w:p w:rsidR="002F107F" w:rsidRPr="002F107F" w:rsidRDefault="002F107F" w:rsidP="00B00756">
            <w:pPr>
              <w:spacing w:before="240"/>
              <w:cnfStyle w:val="000000100000"/>
              <w:rPr>
                <w:rFonts w:ascii="Arial Narrow" w:hAnsi="Arial Narrow"/>
              </w:rPr>
            </w:pPr>
            <w:r w:rsidRPr="002F107F">
              <w:rPr>
                <w:rFonts w:ascii="Arial Narrow" w:hAnsi="Arial Narrow"/>
              </w:rPr>
              <w:t xml:space="preserve">Les nouveaux contrats ont trait principalement au transfert des connaissances, à la mise à jour des progiciels, à la coordination, à la maintenance, au soutien administratif et au développement de composantes. </w:t>
            </w:r>
          </w:p>
        </w:tc>
        <w:tc>
          <w:tcPr>
            <w:tcW w:w="1985" w:type="dxa"/>
          </w:tcPr>
          <w:p w:rsidR="002F107F" w:rsidRPr="00DD6357" w:rsidRDefault="002F107F" w:rsidP="00B00756">
            <w:pPr>
              <w:spacing w:before="240"/>
              <w:cnfStyle w:val="000000100000"/>
              <w:rPr>
                <w:rFonts w:ascii="Arial Narrow" w:hAnsi="Arial Narrow"/>
                <w:sz w:val="20"/>
                <w:szCs w:val="20"/>
              </w:rPr>
            </w:pPr>
            <w:r w:rsidRPr="00DD6357">
              <w:rPr>
                <w:rFonts w:ascii="Arial Narrow" w:hAnsi="Arial Narrow"/>
                <w:sz w:val="20"/>
                <w:szCs w:val="20"/>
              </w:rPr>
              <w:t>Journal de Québec, 26 novembre 2012, article de Diane Tremblay, p. 7</w:t>
            </w:r>
          </w:p>
        </w:tc>
      </w:tr>
      <w:tr w:rsidR="002F107F" w:rsidRPr="00BA1350" w:rsidTr="002F107F">
        <w:tc>
          <w:tcPr>
            <w:cnfStyle w:val="001000000000"/>
            <w:tcW w:w="675" w:type="dxa"/>
            <w:vMerge/>
            <w:tcBorders>
              <w:left w:val="single" w:sz="4" w:space="0" w:color="auto"/>
              <w:right w:val="single" w:sz="4" w:space="0" w:color="auto"/>
            </w:tcBorders>
            <w:shd w:val="clear" w:color="auto" w:fill="76923C" w:themeFill="accent3" w:themeFillShade="BF"/>
          </w:tcPr>
          <w:p w:rsidR="002F107F" w:rsidRPr="00BA1350" w:rsidRDefault="002F107F" w:rsidP="00B00756">
            <w:pPr>
              <w:spacing w:before="240"/>
              <w:rPr>
                <w:rFonts w:ascii="Arial Narrow" w:hAnsi="Arial Narrow"/>
                <w:sz w:val="24"/>
                <w:szCs w:val="24"/>
              </w:rPr>
            </w:pPr>
          </w:p>
        </w:tc>
        <w:tc>
          <w:tcPr>
            <w:tcW w:w="1985" w:type="dxa"/>
            <w:tcBorders>
              <w:left w:val="single" w:sz="4" w:space="0" w:color="auto"/>
            </w:tcBorders>
          </w:tcPr>
          <w:p w:rsidR="002F107F" w:rsidRPr="002F107F" w:rsidRDefault="002F107F" w:rsidP="00B00756">
            <w:pPr>
              <w:spacing w:before="240"/>
              <w:cnfStyle w:val="000000000000"/>
              <w:rPr>
                <w:rFonts w:ascii="Arial Narrow" w:hAnsi="Arial Narrow"/>
              </w:rPr>
            </w:pPr>
            <w:r w:rsidRPr="002F107F">
              <w:rPr>
                <w:rFonts w:ascii="Arial Narrow" w:hAnsi="Arial Narrow"/>
              </w:rPr>
              <w:t>Inaction du gouvernement malgré de nombreux rapports accablants</w:t>
            </w:r>
          </w:p>
        </w:tc>
        <w:tc>
          <w:tcPr>
            <w:tcW w:w="9355" w:type="dxa"/>
          </w:tcPr>
          <w:p w:rsidR="002F107F" w:rsidRPr="002F107F" w:rsidRDefault="002F107F" w:rsidP="00356C8B">
            <w:pPr>
              <w:spacing w:before="240"/>
              <w:cnfStyle w:val="000000000000"/>
              <w:rPr>
                <w:rFonts w:ascii="Arial Narrow" w:hAnsi="Arial Narrow"/>
              </w:rPr>
            </w:pPr>
            <w:r w:rsidRPr="002F107F">
              <w:rPr>
                <w:rFonts w:ascii="Arial Narrow" w:hAnsi="Arial Narrow"/>
              </w:rPr>
              <w:t>On dénombre peu de gestes concrets pour corriger des</w:t>
            </w:r>
            <w:r w:rsidRPr="002F107F">
              <w:rPr>
                <w:rFonts w:ascii="Arial Narrow" w:hAnsi="Arial Narrow"/>
              </w:rPr>
              <w:t xml:space="preserve"> </w:t>
            </w:r>
            <w:r w:rsidRPr="002F107F">
              <w:rPr>
                <w:rFonts w:ascii="Arial Narrow" w:hAnsi="Arial Narrow"/>
              </w:rPr>
              <w:t>lacunes déjà relevées. En novembre 2007, le Secrétariat, en collaboration</w:t>
            </w:r>
            <w:r w:rsidRPr="002F107F">
              <w:rPr>
                <w:rFonts w:ascii="Arial Narrow" w:hAnsi="Arial Narrow"/>
              </w:rPr>
              <w:t xml:space="preserve"> </w:t>
            </w:r>
            <w:r w:rsidRPr="002F107F">
              <w:rPr>
                <w:rFonts w:ascii="Arial Narrow" w:hAnsi="Arial Narrow"/>
              </w:rPr>
              <w:t>avec le MSG, a déposé au Conseil du trésor un rapport</w:t>
            </w:r>
            <w:r w:rsidRPr="002F107F">
              <w:rPr>
                <w:rFonts w:ascii="Arial Narrow" w:hAnsi="Arial Narrow"/>
              </w:rPr>
              <w:t xml:space="preserve"> </w:t>
            </w:r>
            <w:r w:rsidRPr="002F107F">
              <w:rPr>
                <w:rFonts w:ascii="Arial Narrow" w:hAnsi="Arial Narrow"/>
              </w:rPr>
              <w:t xml:space="preserve">portant sur la gestion de la </w:t>
            </w:r>
            <w:proofErr w:type="spellStart"/>
            <w:r w:rsidRPr="002F107F">
              <w:rPr>
                <w:rFonts w:ascii="Arial Narrow" w:hAnsi="Arial Narrow"/>
              </w:rPr>
              <w:t>main-d’oeuvre</w:t>
            </w:r>
            <w:proofErr w:type="spellEnd"/>
            <w:r w:rsidRPr="002F107F">
              <w:rPr>
                <w:rFonts w:ascii="Arial Narrow" w:hAnsi="Arial Narrow"/>
              </w:rPr>
              <w:t xml:space="preserve"> et des projets dans le</w:t>
            </w:r>
            <w:r w:rsidRPr="002F107F">
              <w:rPr>
                <w:rFonts w:ascii="Arial Narrow" w:hAnsi="Arial Narrow"/>
              </w:rPr>
              <w:t xml:space="preserve"> </w:t>
            </w:r>
            <w:r w:rsidRPr="002F107F">
              <w:rPr>
                <w:rFonts w:ascii="Arial Narrow" w:hAnsi="Arial Narrow"/>
              </w:rPr>
              <w:t>secteur des RI ; ce rapport avait été réalisé conjointement avec la</w:t>
            </w:r>
            <w:r w:rsidRPr="002F107F">
              <w:rPr>
                <w:rFonts w:ascii="Arial Narrow" w:hAnsi="Arial Narrow"/>
              </w:rPr>
              <w:t xml:space="preserve"> </w:t>
            </w:r>
            <w:r w:rsidRPr="002F107F">
              <w:rPr>
                <w:rFonts w:ascii="Arial Narrow" w:hAnsi="Arial Narrow"/>
              </w:rPr>
              <w:t>firme Price</w:t>
            </w:r>
            <w:r w:rsidRPr="002F107F">
              <w:rPr>
                <w:rFonts w:ascii="Arial Narrow" w:hAnsi="Arial Narrow"/>
              </w:rPr>
              <w:t xml:space="preserve"> </w:t>
            </w:r>
            <w:r w:rsidRPr="002F107F">
              <w:rPr>
                <w:rFonts w:ascii="Arial Narrow" w:hAnsi="Arial Narrow"/>
              </w:rPr>
              <w:t>Waterhouse</w:t>
            </w:r>
            <w:r w:rsidRPr="002F107F">
              <w:rPr>
                <w:rFonts w:ascii="Arial Narrow" w:hAnsi="Arial Narrow"/>
              </w:rPr>
              <w:t xml:space="preserve"> </w:t>
            </w:r>
            <w:proofErr w:type="spellStart"/>
            <w:r w:rsidRPr="002F107F">
              <w:rPr>
                <w:rFonts w:ascii="Arial Narrow" w:hAnsi="Arial Narrow"/>
              </w:rPr>
              <w:t>Coopers</w:t>
            </w:r>
            <w:proofErr w:type="spellEnd"/>
            <w:r w:rsidRPr="002F107F">
              <w:rPr>
                <w:rFonts w:ascii="Arial Narrow" w:hAnsi="Arial Narrow"/>
              </w:rPr>
              <w:t>. Plusieurs lacunes ont été soulevées,</w:t>
            </w:r>
            <w:r w:rsidRPr="002F107F">
              <w:rPr>
                <w:rFonts w:ascii="Arial Narrow" w:hAnsi="Arial Narrow"/>
              </w:rPr>
              <w:t xml:space="preserve"> </w:t>
            </w:r>
            <w:r w:rsidRPr="002F107F">
              <w:rPr>
                <w:rFonts w:ascii="Arial Narrow" w:hAnsi="Arial Narrow"/>
              </w:rPr>
              <w:t>mais peu d’actions concrètes ont été accomplies à leur égard.</w:t>
            </w:r>
            <w:r w:rsidRPr="002F107F">
              <w:rPr>
                <w:rFonts w:ascii="Arial Narrow" w:hAnsi="Arial Narrow"/>
              </w:rPr>
              <w:t xml:space="preserve"> </w:t>
            </w:r>
            <w:r w:rsidRPr="002F107F">
              <w:rPr>
                <w:rFonts w:ascii="Arial Narrow" w:hAnsi="Arial Narrow"/>
              </w:rPr>
              <w:t>Cette inaction administrative des instances centrales a empêché la</w:t>
            </w:r>
            <w:r w:rsidRPr="002F107F">
              <w:rPr>
                <w:rFonts w:ascii="Arial Narrow" w:hAnsi="Arial Narrow"/>
              </w:rPr>
              <w:t xml:space="preserve"> </w:t>
            </w:r>
            <w:r w:rsidRPr="002F107F">
              <w:rPr>
                <w:rFonts w:ascii="Arial Narrow" w:hAnsi="Arial Narrow"/>
              </w:rPr>
              <w:t>correction de plusieurs déficiences.</w:t>
            </w:r>
          </w:p>
        </w:tc>
        <w:tc>
          <w:tcPr>
            <w:tcW w:w="1985" w:type="dxa"/>
          </w:tcPr>
          <w:p w:rsidR="002F107F" w:rsidRPr="00DD6357" w:rsidRDefault="002F107F" w:rsidP="002F107F">
            <w:pPr>
              <w:spacing w:before="240"/>
              <w:cnfStyle w:val="000000000000"/>
              <w:rPr>
                <w:rFonts w:ascii="Arial Narrow" w:hAnsi="Arial Narrow"/>
                <w:sz w:val="20"/>
                <w:szCs w:val="20"/>
              </w:rPr>
            </w:pPr>
            <w:r w:rsidRPr="00DD6357">
              <w:rPr>
                <w:rFonts w:ascii="Arial Narrow" w:hAnsi="Arial Narrow"/>
                <w:sz w:val="20"/>
                <w:szCs w:val="20"/>
              </w:rPr>
              <w:t xml:space="preserve">Rapport du VG du </w:t>
            </w:r>
            <w:proofErr w:type="spellStart"/>
            <w:r w:rsidRPr="00DD6357">
              <w:rPr>
                <w:rFonts w:ascii="Arial Narrow" w:hAnsi="Arial Narrow"/>
                <w:sz w:val="20"/>
                <w:szCs w:val="20"/>
              </w:rPr>
              <w:t>Qc</w:t>
            </w:r>
            <w:proofErr w:type="spellEnd"/>
            <w:r w:rsidRPr="00DD6357">
              <w:rPr>
                <w:rFonts w:ascii="Arial Narrow" w:hAnsi="Arial Narrow"/>
                <w:sz w:val="20"/>
                <w:szCs w:val="20"/>
              </w:rPr>
              <w:t>, 2010-2011, chap</w:t>
            </w:r>
            <w:r>
              <w:rPr>
                <w:rFonts w:ascii="Arial Narrow" w:hAnsi="Arial Narrow"/>
                <w:sz w:val="20"/>
                <w:szCs w:val="20"/>
              </w:rPr>
              <w:t>.</w:t>
            </w:r>
            <w:r w:rsidRPr="00DD6357">
              <w:rPr>
                <w:rFonts w:ascii="Arial Narrow" w:hAnsi="Arial Narrow"/>
                <w:sz w:val="20"/>
                <w:szCs w:val="20"/>
              </w:rPr>
              <w:t xml:space="preserve"> 8 : </w:t>
            </w:r>
            <w:r w:rsidRPr="00DD6357">
              <w:rPr>
                <w:rFonts w:ascii="Arial Narrow" w:hAnsi="Arial Narrow"/>
                <w:sz w:val="20"/>
                <w:szCs w:val="20"/>
              </w:rPr>
              <w:t>Projets d’affaires liés aux ressources informationnelles</w:t>
            </w:r>
            <w:r w:rsidRPr="00DD6357">
              <w:rPr>
                <w:rFonts w:ascii="Arial Narrow" w:hAnsi="Arial Narrow"/>
                <w:sz w:val="20"/>
                <w:szCs w:val="20"/>
              </w:rPr>
              <w:t xml:space="preserve"> </w:t>
            </w:r>
            <w:r w:rsidRPr="00DD6357">
              <w:rPr>
                <w:rFonts w:ascii="Arial Narrow" w:hAnsi="Arial Narrow"/>
                <w:sz w:val="20"/>
                <w:szCs w:val="20"/>
              </w:rPr>
              <w:t>et encadrement gouvernemental</w:t>
            </w:r>
          </w:p>
        </w:tc>
      </w:tr>
      <w:tr w:rsidR="002F107F" w:rsidRPr="00BA1350" w:rsidTr="002F107F">
        <w:trPr>
          <w:cnfStyle w:val="000000100000"/>
        </w:trPr>
        <w:tc>
          <w:tcPr>
            <w:cnfStyle w:val="001000000000"/>
            <w:tcW w:w="675" w:type="dxa"/>
            <w:vMerge/>
            <w:tcBorders>
              <w:left w:val="single" w:sz="4" w:space="0" w:color="auto"/>
              <w:right w:val="single" w:sz="4" w:space="0" w:color="auto"/>
            </w:tcBorders>
          </w:tcPr>
          <w:p w:rsidR="002F107F" w:rsidRPr="00BA1350" w:rsidRDefault="002F107F" w:rsidP="00B00756">
            <w:pPr>
              <w:spacing w:before="240"/>
              <w:rPr>
                <w:rFonts w:ascii="Arial Narrow" w:hAnsi="Arial Narrow"/>
                <w:sz w:val="24"/>
                <w:szCs w:val="24"/>
              </w:rPr>
            </w:pPr>
          </w:p>
        </w:tc>
        <w:tc>
          <w:tcPr>
            <w:tcW w:w="1985" w:type="dxa"/>
            <w:tcBorders>
              <w:left w:val="single" w:sz="4" w:space="0" w:color="auto"/>
            </w:tcBorders>
          </w:tcPr>
          <w:p w:rsidR="002F107F" w:rsidRPr="002F107F" w:rsidRDefault="002F107F" w:rsidP="002F107F">
            <w:pPr>
              <w:spacing w:before="240"/>
              <w:cnfStyle w:val="000000100000"/>
              <w:rPr>
                <w:rFonts w:ascii="Arial Narrow" w:hAnsi="Arial Narrow"/>
              </w:rPr>
            </w:pPr>
            <w:r w:rsidRPr="002F107F">
              <w:rPr>
                <w:rFonts w:ascii="Arial Narrow" w:hAnsi="Arial Narrow"/>
              </w:rPr>
              <w:t>Perte de contrôle financier</w:t>
            </w:r>
          </w:p>
        </w:tc>
        <w:tc>
          <w:tcPr>
            <w:tcW w:w="9355" w:type="dxa"/>
          </w:tcPr>
          <w:p w:rsidR="002F107F" w:rsidRPr="002F107F" w:rsidRDefault="002F107F" w:rsidP="00BA1350">
            <w:pPr>
              <w:spacing w:before="240"/>
              <w:cnfStyle w:val="000000100000"/>
              <w:rPr>
                <w:rFonts w:ascii="Arial Narrow" w:hAnsi="Arial Narrow"/>
              </w:rPr>
            </w:pPr>
            <w:r w:rsidRPr="002F107F">
              <w:rPr>
                <w:rFonts w:ascii="Arial Narrow" w:hAnsi="Arial Narrow"/>
              </w:rPr>
              <w:t xml:space="preserve">« On ne sait pas à combien ça se chiffre au total [les dépenses du gouvernement en ressource informationnelle] » a souligné Jean Auclair, relationniste au Conseil du Trésor. </w:t>
            </w:r>
          </w:p>
          <w:p w:rsidR="002F107F" w:rsidRPr="002F107F" w:rsidRDefault="002F107F" w:rsidP="00356C8B">
            <w:pPr>
              <w:spacing w:before="240"/>
              <w:cnfStyle w:val="000000100000"/>
              <w:rPr>
                <w:rFonts w:ascii="Arial Narrow" w:hAnsi="Arial Narrow"/>
              </w:rPr>
            </w:pPr>
          </w:p>
        </w:tc>
        <w:tc>
          <w:tcPr>
            <w:tcW w:w="1985" w:type="dxa"/>
          </w:tcPr>
          <w:p w:rsidR="002F107F" w:rsidRPr="00DD6357" w:rsidRDefault="002F107F" w:rsidP="00554FCC">
            <w:pPr>
              <w:spacing w:before="240"/>
              <w:cnfStyle w:val="000000100000"/>
              <w:rPr>
                <w:rFonts w:ascii="Arial Narrow" w:hAnsi="Arial Narrow"/>
                <w:sz w:val="20"/>
                <w:szCs w:val="20"/>
              </w:rPr>
            </w:pPr>
            <w:r w:rsidRPr="00DD6357">
              <w:rPr>
                <w:rFonts w:ascii="Arial Narrow" w:hAnsi="Arial Narrow"/>
                <w:sz w:val="20"/>
                <w:szCs w:val="20"/>
              </w:rPr>
              <w:t>« Les TI à Québec : un fouillis coûteux » dans le journal Les Affaires. 13 octobre 2012. Valérie Lesage</w:t>
            </w:r>
          </w:p>
        </w:tc>
      </w:tr>
    </w:tbl>
    <w:p w:rsidR="002F107F" w:rsidRDefault="002F107F"/>
    <w:tbl>
      <w:tblPr>
        <w:tblStyle w:val="Grillemoyenne2-Accent3"/>
        <w:tblW w:w="0" w:type="auto"/>
        <w:tblLayout w:type="fixed"/>
        <w:tblLook w:val="04A0"/>
      </w:tblPr>
      <w:tblGrid>
        <w:gridCol w:w="1668"/>
        <w:gridCol w:w="2268"/>
        <w:gridCol w:w="7938"/>
        <w:gridCol w:w="1701"/>
      </w:tblGrid>
      <w:tr w:rsidR="00F65FDD" w:rsidRPr="00BA1350" w:rsidTr="00F65FDD">
        <w:trPr>
          <w:cnfStyle w:val="100000000000"/>
          <w:cantSplit/>
          <w:trHeight w:val="1134"/>
        </w:trPr>
        <w:tc>
          <w:tcPr>
            <w:cnfStyle w:val="001000000100"/>
            <w:tcW w:w="1668" w:type="dxa"/>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tcPr>
          <w:p w:rsidR="002F107F" w:rsidRPr="00BA1350" w:rsidRDefault="002F107F" w:rsidP="00F65FDD">
            <w:pPr>
              <w:ind w:left="113" w:right="113"/>
              <w:jc w:val="center"/>
              <w:rPr>
                <w:rFonts w:ascii="Arial Narrow" w:hAnsi="Arial Narrow"/>
                <w:sz w:val="24"/>
                <w:szCs w:val="24"/>
              </w:rPr>
            </w:pPr>
            <w:r w:rsidRPr="00F65FDD">
              <w:rPr>
                <w:rFonts w:ascii="Arial Narrow" w:hAnsi="Arial Narrow"/>
                <w:color w:val="FFFFFF" w:themeColor="background1"/>
                <w:sz w:val="36"/>
                <w:szCs w:val="36"/>
              </w:rPr>
              <w:t>Iniquité dans le traitement des compagnies</w:t>
            </w:r>
          </w:p>
        </w:tc>
        <w:tc>
          <w:tcPr>
            <w:tcW w:w="2268" w:type="dxa"/>
            <w:tcBorders>
              <w:left w:val="single" w:sz="4" w:space="0" w:color="auto"/>
            </w:tcBorders>
          </w:tcPr>
          <w:p w:rsidR="00F65FDD" w:rsidRDefault="002F107F" w:rsidP="00F36F51">
            <w:pPr>
              <w:spacing w:before="240"/>
              <w:cnfStyle w:val="100000000000"/>
              <w:rPr>
                <w:rFonts w:ascii="Arial Narrow" w:hAnsi="Arial Narrow"/>
                <w:sz w:val="24"/>
                <w:szCs w:val="24"/>
              </w:rPr>
            </w:pPr>
            <w:r w:rsidRPr="00BA1350">
              <w:rPr>
                <w:rFonts w:ascii="Arial Narrow" w:hAnsi="Arial Narrow"/>
                <w:sz w:val="24"/>
                <w:szCs w:val="24"/>
              </w:rPr>
              <w:t xml:space="preserve">Rapport du vérificateur général du Québec; </w:t>
            </w:r>
          </w:p>
          <w:p w:rsidR="002F107F" w:rsidRPr="00BA1350" w:rsidRDefault="002F107F" w:rsidP="00F36F51">
            <w:pPr>
              <w:spacing w:before="240"/>
              <w:cnfStyle w:val="100000000000"/>
              <w:rPr>
                <w:rFonts w:ascii="Arial Narrow" w:hAnsi="Arial Narrow"/>
                <w:sz w:val="24"/>
                <w:szCs w:val="24"/>
              </w:rPr>
            </w:pPr>
            <w:r w:rsidRPr="00BA1350">
              <w:rPr>
                <w:rFonts w:ascii="Arial Narrow" w:hAnsi="Arial Narrow"/>
                <w:sz w:val="24"/>
                <w:szCs w:val="24"/>
              </w:rPr>
              <w:t>Des contrats informatiques mal gérés</w:t>
            </w:r>
          </w:p>
        </w:tc>
        <w:tc>
          <w:tcPr>
            <w:tcW w:w="7938" w:type="dxa"/>
          </w:tcPr>
          <w:p w:rsidR="00F65FDD" w:rsidRDefault="002F107F" w:rsidP="00F36F51">
            <w:pPr>
              <w:spacing w:before="240"/>
              <w:cnfStyle w:val="100000000000"/>
              <w:rPr>
                <w:rFonts w:ascii="Arial Narrow" w:hAnsi="Arial Narrow"/>
                <w:b w:val="0"/>
                <w:bCs w:val="0"/>
                <w:sz w:val="24"/>
                <w:szCs w:val="24"/>
              </w:rPr>
            </w:pPr>
            <w:r w:rsidRPr="00F65FDD">
              <w:rPr>
                <w:rFonts w:ascii="Arial Narrow" w:hAnsi="Arial Narrow"/>
                <w:b w:val="0"/>
                <w:bCs w:val="0"/>
                <w:sz w:val="24"/>
                <w:szCs w:val="24"/>
              </w:rPr>
              <w:t xml:space="preserve">Le CSPQ a accordé neuf contrats à une somme supérieure à la soumission retenue […] </w:t>
            </w:r>
          </w:p>
          <w:p w:rsidR="00F65FDD" w:rsidRDefault="002F107F" w:rsidP="00F36F51">
            <w:pPr>
              <w:spacing w:before="240"/>
              <w:cnfStyle w:val="100000000000"/>
              <w:rPr>
                <w:rFonts w:ascii="Arial Narrow" w:hAnsi="Arial Narrow"/>
                <w:b w:val="0"/>
                <w:bCs w:val="0"/>
                <w:sz w:val="24"/>
                <w:szCs w:val="24"/>
              </w:rPr>
            </w:pPr>
            <w:r w:rsidRPr="00F65FDD">
              <w:rPr>
                <w:rFonts w:ascii="Arial Narrow" w:hAnsi="Arial Narrow"/>
                <w:b w:val="0"/>
                <w:bCs w:val="0"/>
                <w:sz w:val="24"/>
                <w:szCs w:val="24"/>
              </w:rPr>
              <w:t xml:space="preserve">Cette pratique est «inacceptable» et n’est « pas équitable» pour les autres soumissionnaires selon le VG […] </w:t>
            </w:r>
          </w:p>
          <w:p w:rsidR="00F65FDD" w:rsidRDefault="002F107F" w:rsidP="00F36F51">
            <w:pPr>
              <w:spacing w:before="240"/>
              <w:cnfStyle w:val="100000000000"/>
              <w:rPr>
                <w:rFonts w:ascii="Arial Narrow" w:hAnsi="Arial Narrow"/>
                <w:b w:val="0"/>
                <w:bCs w:val="0"/>
                <w:sz w:val="24"/>
                <w:szCs w:val="24"/>
              </w:rPr>
            </w:pPr>
            <w:r w:rsidRPr="00F65FDD">
              <w:rPr>
                <w:rFonts w:ascii="Arial Narrow" w:hAnsi="Arial Narrow"/>
                <w:b w:val="0"/>
                <w:bCs w:val="0"/>
                <w:sz w:val="24"/>
                <w:szCs w:val="24"/>
              </w:rPr>
              <w:t xml:space="preserve">Le VG a constaté d’autres problèmes dans la sélection et l’évaluation des fournisseurs, de même que dans le suivi des contrats. </w:t>
            </w:r>
          </w:p>
          <w:p w:rsidR="002F107F" w:rsidRPr="00F65FDD" w:rsidRDefault="002F107F" w:rsidP="00F36F51">
            <w:pPr>
              <w:spacing w:before="240"/>
              <w:cnfStyle w:val="100000000000"/>
              <w:rPr>
                <w:rFonts w:ascii="Arial Narrow" w:hAnsi="Arial Narrow"/>
                <w:b w:val="0"/>
                <w:bCs w:val="0"/>
                <w:sz w:val="24"/>
                <w:szCs w:val="24"/>
              </w:rPr>
            </w:pPr>
            <w:r w:rsidRPr="00F65FDD">
              <w:rPr>
                <w:rFonts w:ascii="Arial Narrow" w:hAnsi="Arial Narrow"/>
                <w:b w:val="0"/>
                <w:bCs w:val="0"/>
                <w:sz w:val="24"/>
                <w:szCs w:val="24"/>
              </w:rPr>
              <w:t xml:space="preserve">Toutes ces lacunes « soulèvent des préoccupations à l’égard du traitement équitable des fournisseurs et de l’utilisation judicieuse des fonds publics ». </w:t>
            </w:r>
          </w:p>
          <w:p w:rsidR="00F65FDD" w:rsidRPr="00BA1350" w:rsidRDefault="00F65FDD" w:rsidP="00F36F51">
            <w:pPr>
              <w:spacing w:before="240"/>
              <w:cnfStyle w:val="100000000000"/>
              <w:rPr>
                <w:rFonts w:ascii="Arial Narrow" w:hAnsi="Arial Narrow"/>
                <w:sz w:val="24"/>
                <w:szCs w:val="24"/>
              </w:rPr>
            </w:pPr>
          </w:p>
        </w:tc>
        <w:tc>
          <w:tcPr>
            <w:tcW w:w="1701" w:type="dxa"/>
          </w:tcPr>
          <w:p w:rsidR="002F107F" w:rsidRPr="00DD6357" w:rsidRDefault="002F107F" w:rsidP="00F36F51">
            <w:pPr>
              <w:spacing w:before="240"/>
              <w:cnfStyle w:val="100000000000"/>
              <w:rPr>
                <w:rFonts w:ascii="Arial Narrow" w:hAnsi="Arial Narrow"/>
                <w:sz w:val="20"/>
                <w:szCs w:val="20"/>
              </w:rPr>
            </w:pPr>
            <w:r w:rsidRPr="00F65FDD">
              <w:rPr>
                <w:rFonts w:ascii="Arial Narrow" w:hAnsi="Arial Narrow"/>
                <w:b w:val="0"/>
                <w:bCs w:val="0"/>
                <w:sz w:val="20"/>
                <w:szCs w:val="20"/>
              </w:rPr>
              <w:t xml:space="preserve">La Presse, 30 nov. 2012, p. A8, article de Tommy </w:t>
            </w:r>
            <w:proofErr w:type="spellStart"/>
            <w:r w:rsidRPr="00F65FDD">
              <w:rPr>
                <w:rFonts w:ascii="Arial Narrow" w:hAnsi="Arial Narrow"/>
                <w:b w:val="0"/>
                <w:bCs w:val="0"/>
                <w:sz w:val="20"/>
                <w:szCs w:val="20"/>
              </w:rPr>
              <w:t>Chouinard</w:t>
            </w:r>
            <w:proofErr w:type="spellEnd"/>
          </w:p>
        </w:tc>
      </w:tr>
    </w:tbl>
    <w:p w:rsidR="00F65FDD" w:rsidRDefault="00F65FDD"/>
    <w:p w:rsidR="00F65FDD" w:rsidRDefault="00F65FDD">
      <w:r>
        <w:br w:type="page"/>
      </w:r>
    </w:p>
    <w:p w:rsidR="00F65FDD" w:rsidRDefault="00F65FDD"/>
    <w:tbl>
      <w:tblPr>
        <w:tblStyle w:val="Grillemoyenne2-Accent3"/>
        <w:tblW w:w="0" w:type="auto"/>
        <w:tblLayout w:type="fixed"/>
        <w:tblLook w:val="04A0"/>
      </w:tblPr>
      <w:tblGrid>
        <w:gridCol w:w="1101"/>
        <w:gridCol w:w="2835"/>
        <w:gridCol w:w="7938"/>
        <w:gridCol w:w="1701"/>
      </w:tblGrid>
      <w:tr w:rsidR="00841D2F" w:rsidRPr="00BA1350" w:rsidTr="00841D2F">
        <w:trPr>
          <w:cnfStyle w:val="100000000000"/>
        </w:trPr>
        <w:tc>
          <w:tcPr>
            <w:cnfStyle w:val="001000000100"/>
            <w:tcW w:w="1101"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tcPr>
          <w:p w:rsidR="00841D2F" w:rsidRPr="00BA1350" w:rsidRDefault="00841D2F" w:rsidP="00841D2F">
            <w:pPr>
              <w:ind w:left="113" w:right="113"/>
              <w:jc w:val="center"/>
              <w:rPr>
                <w:rFonts w:ascii="Arial Narrow" w:hAnsi="Arial Narrow"/>
                <w:sz w:val="24"/>
                <w:szCs w:val="24"/>
              </w:rPr>
            </w:pPr>
            <w:r w:rsidRPr="00841D2F">
              <w:rPr>
                <w:rFonts w:ascii="Arial Narrow" w:hAnsi="Arial Narrow"/>
                <w:color w:val="FFFFFF" w:themeColor="background1"/>
                <w:sz w:val="36"/>
                <w:szCs w:val="36"/>
              </w:rPr>
              <w:t>Des coûts qui explosent</w:t>
            </w:r>
          </w:p>
        </w:tc>
        <w:tc>
          <w:tcPr>
            <w:tcW w:w="2835" w:type="dxa"/>
            <w:tcBorders>
              <w:left w:val="single" w:sz="4" w:space="0" w:color="auto"/>
            </w:tcBorders>
          </w:tcPr>
          <w:p w:rsidR="00841D2F" w:rsidRPr="00BA1350" w:rsidRDefault="00841D2F" w:rsidP="00F36F51">
            <w:pPr>
              <w:spacing w:before="240"/>
              <w:cnfStyle w:val="100000000000"/>
              <w:rPr>
                <w:rFonts w:ascii="Arial Narrow" w:hAnsi="Arial Narrow"/>
                <w:sz w:val="24"/>
                <w:szCs w:val="24"/>
              </w:rPr>
            </w:pPr>
            <w:r w:rsidRPr="00841D2F">
              <w:rPr>
                <w:rFonts w:ascii="Arial Narrow" w:hAnsi="Arial Narrow"/>
                <w:b w:val="0"/>
                <w:bCs w:val="0"/>
                <w:sz w:val="24"/>
                <w:szCs w:val="24"/>
              </w:rPr>
              <w:t>2 fois plus cher au privé</w:t>
            </w:r>
          </w:p>
        </w:tc>
        <w:tc>
          <w:tcPr>
            <w:tcW w:w="7938" w:type="dxa"/>
          </w:tcPr>
          <w:p w:rsidR="00841D2F" w:rsidRPr="00F65FDD" w:rsidRDefault="00841D2F" w:rsidP="00BA1350">
            <w:pPr>
              <w:spacing w:before="240"/>
              <w:cnfStyle w:val="100000000000"/>
              <w:rPr>
                <w:rFonts w:ascii="Arial Narrow" w:hAnsi="Arial Narrow"/>
                <w:b w:val="0"/>
                <w:bCs w:val="0"/>
                <w:sz w:val="24"/>
                <w:szCs w:val="24"/>
              </w:rPr>
            </w:pPr>
            <w:r w:rsidRPr="00F65FDD">
              <w:rPr>
                <w:rFonts w:ascii="Arial Narrow" w:hAnsi="Arial Narrow"/>
                <w:b w:val="0"/>
                <w:bCs w:val="0"/>
                <w:sz w:val="24"/>
                <w:szCs w:val="24"/>
              </w:rPr>
              <w:t xml:space="preserve">Le Vérificateur général a déterminé que le  taux horaire d’un fonctionnaire en informatique varie entre 215$ et 475$ par jour comparativement à une ressource externe dont le taux se situe régulièrement entre 400 et 950$ quotidiennement. </w:t>
            </w:r>
          </w:p>
          <w:p w:rsidR="00841D2F" w:rsidRPr="00BA1350" w:rsidRDefault="00841D2F" w:rsidP="00BA1350">
            <w:pPr>
              <w:spacing w:before="240"/>
              <w:cnfStyle w:val="100000000000"/>
              <w:rPr>
                <w:rFonts w:ascii="Arial Narrow" w:hAnsi="Arial Narrow"/>
                <w:sz w:val="24"/>
                <w:szCs w:val="24"/>
              </w:rPr>
            </w:pPr>
            <w:r w:rsidRPr="00F65FDD">
              <w:rPr>
                <w:rFonts w:ascii="Arial Narrow" w:hAnsi="Arial Narrow"/>
                <w:b w:val="0"/>
                <w:bCs w:val="0"/>
                <w:sz w:val="24"/>
                <w:szCs w:val="24"/>
              </w:rPr>
              <w:t>On paie deux fois plus cher pour le même travail dans le privé que dans le public.</w:t>
            </w:r>
          </w:p>
        </w:tc>
        <w:tc>
          <w:tcPr>
            <w:tcW w:w="1701" w:type="dxa"/>
          </w:tcPr>
          <w:p w:rsidR="00841D2F" w:rsidRPr="00F65FDD" w:rsidRDefault="00841D2F" w:rsidP="00BA1350">
            <w:pPr>
              <w:spacing w:before="240"/>
              <w:cnfStyle w:val="100000000000"/>
              <w:rPr>
                <w:rFonts w:ascii="Arial Narrow" w:hAnsi="Arial Narrow"/>
                <w:b w:val="0"/>
                <w:bCs w:val="0"/>
                <w:sz w:val="20"/>
                <w:szCs w:val="20"/>
              </w:rPr>
            </w:pPr>
            <w:r w:rsidRPr="00F65FDD">
              <w:rPr>
                <w:rFonts w:ascii="Arial Narrow" w:hAnsi="Arial Narrow"/>
                <w:b w:val="0"/>
                <w:bCs w:val="0"/>
                <w:sz w:val="20"/>
                <w:szCs w:val="20"/>
              </w:rPr>
              <w:t xml:space="preserve">Rapport du VG du </w:t>
            </w:r>
            <w:proofErr w:type="spellStart"/>
            <w:r w:rsidRPr="00F65FDD">
              <w:rPr>
                <w:rFonts w:ascii="Arial Narrow" w:hAnsi="Arial Narrow"/>
                <w:b w:val="0"/>
                <w:bCs w:val="0"/>
                <w:sz w:val="20"/>
                <w:szCs w:val="20"/>
              </w:rPr>
              <w:t>Qc</w:t>
            </w:r>
            <w:proofErr w:type="spellEnd"/>
            <w:r w:rsidRPr="00F65FDD">
              <w:rPr>
                <w:rFonts w:ascii="Arial Narrow" w:hAnsi="Arial Narrow"/>
                <w:b w:val="0"/>
                <w:bCs w:val="0"/>
                <w:sz w:val="20"/>
                <w:szCs w:val="20"/>
              </w:rPr>
              <w:t xml:space="preserve">, automne 2012, chapitre 5 : </w:t>
            </w:r>
            <w:r w:rsidRPr="00F65FDD">
              <w:rPr>
                <w:rFonts w:ascii="Arial Narrow" w:hAnsi="Arial Narrow"/>
                <w:b w:val="0"/>
                <w:bCs w:val="0"/>
                <w:sz w:val="20"/>
                <w:szCs w:val="20"/>
              </w:rPr>
              <w:t>Contrats de services professionnels</w:t>
            </w:r>
            <w:r w:rsidRPr="00F65FDD">
              <w:rPr>
                <w:rFonts w:ascii="Arial Narrow" w:hAnsi="Arial Narrow"/>
                <w:b w:val="0"/>
                <w:bCs w:val="0"/>
                <w:sz w:val="20"/>
                <w:szCs w:val="20"/>
              </w:rPr>
              <w:t xml:space="preserve"> </w:t>
            </w:r>
            <w:r w:rsidRPr="00F65FDD">
              <w:rPr>
                <w:rFonts w:ascii="Arial Narrow" w:hAnsi="Arial Narrow"/>
                <w:b w:val="0"/>
                <w:bCs w:val="0"/>
                <w:sz w:val="20"/>
                <w:szCs w:val="20"/>
              </w:rPr>
              <w:t>liés au traitement</w:t>
            </w:r>
            <w:r w:rsidRPr="00F65FDD">
              <w:rPr>
                <w:rFonts w:ascii="Arial Narrow" w:hAnsi="Arial Narrow"/>
                <w:b w:val="0"/>
                <w:bCs w:val="0"/>
                <w:sz w:val="20"/>
                <w:szCs w:val="20"/>
              </w:rPr>
              <w:t xml:space="preserve"> </w:t>
            </w:r>
            <w:r w:rsidRPr="00F65FDD">
              <w:rPr>
                <w:rFonts w:ascii="Arial Narrow" w:hAnsi="Arial Narrow"/>
                <w:b w:val="0"/>
                <w:bCs w:val="0"/>
                <w:sz w:val="20"/>
                <w:szCs w:val="20"/>
              </w:rPr>
              <w:t>de l’information</w:t>
            </w:r>
            <w:r w:rsidRPr="00F65FDD">
              <w:rPr>
                <w:b w:val="0"/>
                <w:bCs w:val="0"/>
                <w:sz w:val="20"/>
                <w:szCs w:val="20"/>
              </w:rPr>
              <w:endnoteReference w:id="2"/>
            </w:r>
          </w:p>
        </w:tc>
      </w:tr>
      <w:tr w:rsidR="00841D2F" w:rsidRPr="00BA1350" w:rsidTr="00841D2F">
        <w:trPr>
          <w:cnfStyle w:val="000000100000"/>
        </w:trPr>
        <w:tc>
          <w:tcPr>
            <w:cnfStyle w:val="001000000000"/>
            <w:tcW w:w="1101"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841D2F" w:rsidRPr="00BA1350" w:rsidRDefault="00841D2F" w:rsidP="00F36F51">
            <w:pPr>
              <w:spacing w:before="240"/>
              <w:rPr>
                <w:rFonts w:ascii="Arial Narrow" w:hAnsi="Arial Narrow"/>
                <w:sz w:val="24"/>
                <w:szCs w:val="24"/>
              </w:rPr>
            </w:pPr>
          </w:p>
        </w:tc>
        <w:tc>
          <w:tcPr>
            <w:tcW w:w="2835" w:type="dxa"/>
            <w:tcBorders>
              <w:left w:val="single" w:sz="4" w:space="0" w:color="auto"/>
            </w:tcBorders>
          </w:tcPr>
          <w:p w:rsidR="00841D2F" w:rsidRPr="00BA1350" w:rsidRDefault="00841D2F" w:rsidP="00F36F51">
            <w:pPr>
              <w:spacing w:before="240"/>
              <w:cnfStyle w:val="000000100000"/>
              <w:rPr>
                <w:rFonts w:ascii="Arial Narrow" w:hAnsi="Arial Narrow"/>
                <w:sz w:val="24"/>
                <w:szCs w:val="24"/>
              </w:rPr>
            </w:pPr>
            <w:r w:rsidRPr="00BA1350">
              <w:rPr>
                <w:rFonts w:ascii="Arial Narrow" w:hAnsi="Arial Narrow"/>
                <w:sz w:val="24"/>
                <w:szCs w:val="24"/>
              </w:rPr>
              <w:t>Rapport du vérificateur général du Québec; Des contrats informatiques mal gérés</w:t>
            </w:r>
          </w:p>
        </w:tc>
        <w:tc>
          <w:tcPr>
            <w:tcW w:w="7938" w:type="dxa"/>
          </w:tcPr>
          <w:p w:rsidR="00841D2F" w:rsidRPr="00BA1350" w:rsidRDefault="00841D2F" w:rsidP="00BA1350">
            <w:pPr>
              <w:spacing w:before="240"/>
              <w:cnfStyle w:val="000000100000"/>
              <w:rPr>
                <w:rFonts w:ascii="Arial Narrow" w:hAnsi="Arial Narrow"/>
                <w:sz w:val="24"/>
                <w:szCs w:val="24"/>
              </w:rPr>
            </w:pPr>
            <w:r w:rsidRPr="00BA1350">
              <w:rPr>
                <w:rFonts w:ascii="Arial Narrow" w:hAnsi="Arial Narrow"/>
                <w:sz w:val="24"/>
                <w:szCs w:val="24"/>
              </w:rPr>
              <w:t xml:space="preserve">Dans la réalisation de 13 contrats, le fournisseur a facturé ses services à un taux plus élevé que celui prévu au contrat. </w:t>
            </w:r>
          </w:p>
          <w:p w:rsidR="00841D2F" w:rsidRPr="00BA1350" w:rsidRDefault="00841D2F" w:rsidP="00BA1350">
            <w:pPr>
              <w:spacing w:before="240"/>
              <w:cnfStyle w:val="000000100000"/>
              <w:rPr>
                <w:rFonts w:ascii="Arial Narrow" w:hAnsi="Arial Narrow"/>
                <w:sz w:val="24"/>
                <w:szCs w:val="24"/>
              </w:rPr>
            </w:pPr>
            <w:r w:rsidRPr="00BA1350">
              <w:rPr>
                <w:rFonts w:ascii="Arial Narrow" w:hAnsi="Arial Narrow"/>
                <w:sz w:val="24"/>
                <w:szCs w:val="24"/>
              </w:rPr>
              <w:t>Par exemple, le tarif journalier payé par l’État a été de 2616$ alors que le contrat prévoyait un maximum de 700$.</w:t>
            </w:r>
          </w:p>
          <w:p w:rsidR="00841D2F" w:rsidRPr="00BA1350" w:rsidRDefault="00841D2F" w:rsidP="00F36F51">
            <w:pPr>
              <w:spacing w:before="240"/>
              <w:cnfStyle w:val="000000100000"/>
              <w:rPr>
                <w:rFonts w:ascii="Arial Narrow" w:hAnsi="Arial Narrow"/>
                <w:sz w:val="24"/>
                <w:szCs w:val="24"/>
              </w:rPr>
            </w:pPr>
          </w:p>
        </w:tc>
        <w:tc>
          <w:tcPr>
            <w:tcW w:w="1701" w:type="dxa"/>
          </w:tcPr>
          <w:p w:rsidR="00841D2F" w:rsidRPr="00F65FDD" w:rsidRDefault="00841D2F" w:rsidP="00EB0435">
            <w:pPr>
              <w:spacing w:before="240"/>
              <w:cnfStyle w:val="000000100000"/>
              <w:rPr>
                <w:rFonts w:ascii="Arial Narrow" w:hAnsi="Arial Narrow"/>
                <w:sz w:val="20"/>
                <w:szCs w:val="20"/>
              </w:rPr>
            </w:pPr>
            <w:r w:rsidRPr="00F65FDD">
              <w:rPr>
                <w:rFonts w:ascii="Arial Narrow" w:hAnsi="Arial Narrow"/>
                <w:sz w:val="20"/>
                <w:szCs w:val="20"/>
              </w:rPr>
              <w:t xml:space="preserve">La Presse, 30 nov. 2012, p. A8, article de Tommy </w:t>
            </w:r>
            <w:proofErr w:type="spellStart"/>
            <w:r w:rsidRPr="00F65FDD">
              <w:rPr>
                <w:rFonts w:ascii="Arial Narrow" w:hAnsi="Arial Narrow"/>
                <w:sz w:val="20"/>
                <w:szCs w:val="20"/>
              </w:rPr>
              <w:t>Chouinard</w:t>
            </w:r>
            <w:proofErr w:type="spellEnd"/>
          </w:p>
        </w:tc>
      </w:tr>
    </w:tbl>
    <w:p w:rsidR="00472A27" w:rsidRPr="00BA1350" w:rsidRDefault="00472A27" w:rsidP="00F36F51">
      <w:pPr>
        <w:spacing w:before="240"/>
        <w:rPr>
          <w:rFonts w:ascii="Arial Narrow" w:hAnsi="Arial Narrow"/>
          <w:sz w:val="24"/>
          <w:szCs w:val="24"/>
        </w:rPr>
      </w:pPr>
    </w:p>
    <w:sectPr w:rsidR="00472A27" w:rsidRPr="00BA1350" w:rsidSect="00DD6357">
      <w:footerReference w:type="default" r:id="rId8"/>
      <w:pgSz w:w="15840" w:h="12240" w:orient="landscape"/>
      <w:pgMar w:top="1135"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FC" w:rsidRDefault="003D2EFC" w:rsidP="00BA1350">
      <w:pPr>
        <w:spacing w:after="0" w:line="240" w:lineRule="auto"/>
      </w:pPr>
      <w:r>
        <w:separator/>
      </w:r>
    </w:p>
  </w:endnote>
  <w:endnote w:type="continuationSeparator" w:id="0">
    <w:p w:rsidR="003D2EFC" w:rsidRDefault="003D2EFC" w:rsidP="00BA1350">
      <w:pPr>
        <w:spacing w:after="0" w:line="240" w:lineRule="auto"/>
      </w:pPr>
      <w:r>
        <w:continuationSeparator/>
      </w:r>
    </w:p>
  </w:endnote>
  <w:endnote w:id="1">
    <w:p w:rsidR="002F107F" w:rsidRDefault="002F107F" w:rsidP="00BA1350">
      <w:pPr>
        <w:pStyle w:val="Notedefin"/>
      </w:pPr>
      <w:r>
        <w:rPr>
          <w:rStyle w:val="Appeldenotedefin"/>
        </w:rPr>
        <w:endnoteRef/>
      </w:r>
      <w:r>
        <w:t xml:space="preserve"> </w:t>
      </w:r>
    </w:p>
  </w:endnote>
  <w:endnote w:id="2">
    <w:p w:rsidR="00841D2F" w:rsidRDefault="00841D2F" w:rsidP="00BA1350">
      <w:pPr>
        <w:pStyle w:val="Notedefin"/>
        <w:spacing w:before="240"/>
      </w:pPr>
      <w:r>
        <w:rPr>
          <w:rStyle w:val="Appeldenotedefin"/>
        </w:rPr>
        <w:endnoteRef/>
      </w:r>
      <w:r>
        <w:t xml:space="preserve"> [</w:t>
      </w:r>
      <w:r w:rsidRPr="00BC14EC">
        <w:t>http://www.vgq.gouv.qc.ca/fr/fr_publications/fr_rapport-annuel/fr_2012-2013-VOR-Automne/fr_Rapport2012-2013-VOR-Automne-Chap05.pdf</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741219"/>
      <w:docPartObj>
        <w:docPartGallery w:val="Page Numbers (Bottom of Page)"/>
        <w:docPartUnique/>
      </w:docPartObj>
    </w:sdtPr>
    <w:sdtContent>
      <w:p w:rsidR="00543760" w:rsidRDefault="00543760">
        <w:pPr>
          <w:pStyle w:val="Pieddepage"/>
        </w:pPr>
        <w:r w:rsidRPr="001C6E81">
          <w:rPr>
            <w:noProof/>
            <w:lang w:val="fr-FR" w:eastAsia="zh-TW"/>
          </w:rPr>
          <w:pict>
            <v:group id="_x0000_s2049" style="position:absolute;margin-left:-77pt;margin-top:0;width:33pt;height:25.35pt;z-index:251660288;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543760" w:rsidRDefault="00543760">
                      <w:pPr>
                        <w:spacing w:after="0" w:line="240" w:lineRule="auto"/>
                        <w:jc w:val="center"/>
                        <w:rPr>
                          <w:color w:val="17365D" w:themeColor="text2" w:themeShade="BF"/>
                          <w:sz w:val="16"/>
                          <w:szCs w:val="16"/>
                          <w:lang w:val="fr-FR"/>
                        </w:rPr>
                      </w:pPr>
                      <w:r>
                        <w:rPr>
                          <w:lang w:val="fr-FR"/>
                        </w:rPr>
                        <w:fldChar w:fldCharType="begin"/>
                      </w:r>
                      <w:r>
                        <w:rPr>
                          <w:lang w:val="fr-FR"/>
                        </w:rPr>
                        <w:instrText xml:space="preserve"> PAGE   \* MERGEFORMAT </w:instrText>
                      </w:r>
                      <w:r>
                        <w:rPr>
                          <w:lang w:val="fr-FR"/>
                        </w:rPr>
                        <w:fldChar w:fldCharType="separate"/>
                      </w:r>
                      <w:r w:rsidRPr="00543760">
                        <w:rPr>
                          <w:noProof/>
                          <w:color w:val="17365D" w:themeColor="text2" w:themeShade="BF"/>
                          <w:sz w:val="16"/>
                          <w:szCs w:val="16"/>
                        </w:rPr>
                        <w:t>1</w:t>
                      </w:r>
                      <w:r>
                        <w:rPr>
                          <w:lang w:val="fr-FR"/>
                        </w:rPr>
                        <w:fldChar w:fldCharType="end"/>
                      </w:r>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FC" w:rsidRDefault="003D2EFC" w:rsidP="00BA1350">
      <w:pPr>
        <w:spacing w:after="0" w:line="240" w:lineRule="auto"/>
      </w:pPr>
      <w:r>
        <w:separator/>
      </w:r>
    </w:p>
  </w:footnote>
  <w:footnote w:type="continuationSeparator" w:id="0">
    <w:p w:rsidR="003D2EFC" w:rsidRDefault="003D2EFC" w:rsidP="00BA1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100F"/>
    <w:multiLevelType w:val="hybridMultilevel"/>
    <w:tmpl w:val="991654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72A27"/>
    <w:rsid w:val="002F107F"/>
    <w:rsid w:val="00356C8B"/>
    <w:rsid w:val="0036716D"/>
    <w:rsid w:val="003D2EFC"/>
    <w:rsid w:val="00472A27"/>
    <w:rsid w:val="0051186D"/>
    <w:rsid w:val="005165DA"/>
    <w:rsid w:val="00522FF0"/>
    <w:rsid w:val="00543760"/>
    <w:rsid w:val="00554FCC"/>
    <w:rsid w:val="00672F61"/>
    <w:rsid w:val="00761B9E"/>
    <w:rsid w:val="007A0D58"/>
    <w:rsid w:val="00841D2F"/>
    <w:rsid w:val="00870B36"/>
    <w:rsid w:val="00957004"/>
    <w:rsid w:val="00A55481"/>
    <w:rsid w:val="00B00756"/>
    <w:rsid w:val="00B07D6F"/>
    <w:rsid w:val="00BA1350"/>
    <w:rsid w:val="00CF7D75"/>
    <w:rsid w:val="00DD6357"/>
    <w:rsid w:val="00F36F51"/>
    <w:rsid w:val="00F65FDD"/>
    <w:rsid w:val="00FA2A5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2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2-Accent3">
    <w:name w:val="Medium Grid 2 Accent 3"/>
    <w:basedOn w:val="TableauNormal"/>
    <w:uiPriority w:val="68"/>
    <w:rsid w:val="00472A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Paragraphedeliste">
    <w:name w:val="List Paragraph"/>
    <w:basedOn w:val="Normal"/>
    <w:uiPriority w:val="34"/>
    <w:qFormat/>
    <w:rsid w:val="0036716D"/>
    <w:pPr>
      <w:ind w:left="720"/>
      <w:contextualSpacing/>
    </w:pPr>
  </w:style>
  <w:style w:type="paragraph" w:styleId="Textedebulles">
    <w:name w:val="Balloon Text"/>
    <w:basedOn w:val="Normal"/>
    <w:link w:val="TextedebullesCar"/>
    <w:uiPriority w:val="99"/>
    <w:semiHidden/>
    <w:unhideWhenUsed/>
    <w:rsid w:val="00BA13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1350"/>
    <w:rPr>
      <w:rFonts w:ascii="Tahoma" w:hAnsi="Tahoma" w:cs="Tahoma"/>
      <w:sz w:val="16"/>
      <w:szCs w:val="16"/>
    </w:rPr>
  </w:style>
  <w:style w:type="paragraph" w:styleId="Notedefin">
    <w:name w:val="endnote text"/>
    <w:basedOn w:val="Normal"/>
    <w:link w:val="NotedefinCar"/>
    <w:uiPriority w:val="99"/>
    <w:semiHidden/>
    <w:unhideWhenUsed/>
    <w:rsid w:val="00BA1350"/>
    <w:pPr>
      <w:spacing w:after="0" w:line="240" w:lineRule="auto"/>
    </w:pPr>
    <w:rPr>
      <w:sz w:val="20"/>
      <w:szCs w:val="20"/>
    </w:rPr>
  </w:style>
  <w:style w:type="character" w:customStyle="1" w:styleId="NotedefinCar">
    <w:name w:val="Note de fin Car"/>
    <w:basedOn w:val="Policepardfaut"/>
    <w:link w:val="Notedefin"/>
    <w:uiPriority w:val="99"/>
    <w:semiHidden/>
    <w:rsid w:val="00BA1350"/>
    <w:rPr>
      <w:sz w:val="20"/>
      <w:szCs w:val="20"/>
    </w:rPr>
  </w:style>
  <w:style w:type="character" w:styleId="Appeldenotedefin">
    <w:name w:val="endnote reference"/>
    <w:basedOn w:val="Policepardfaut"/>
    <w:uiPriority w:val="99"/>
    <w:semiHidden/>
    <w:unhideWhenUsed/>
    <w:rsid w:val="00BA1350"/>
    <w:rPr>
      <w:vertAlign w:val="superscript"/>
    </w:rPr>
  </w:style>
  <w:style w:type="paragraph" w:styleId="En-tte">
    <w:name w:val="header"/>
    <w:basedOn w:val="Normal"/>
    <w:link w:val="En-tteCar"/>
    <w:uiPriority w:val="99"/>
    <w:semiHidden/>
    <w:unhideWhenUsed/>
    <w:rsid w:val="0054376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43760"/>
  </w:style>
  <w:style w:type="paragraph" w:styleId="Pieddepage">
    <w:name w:val="footer"/>
    <w:basedOn w:val="Normal"/>
    <w:link w:val="PieddepageCar"/>
    <w:uiPriority w:val="99"/>
    <w:semiHidden/>
    <w:unhideWhenUsed/>
    <w:rsid w:val="0054376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5437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B517C-6F22-4245-9110-F7B36E7D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1193</Words>
  <Characters>6563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SFPQ</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8</cp:revision>
  <cp:lastPrinted>2013-01-14T15:38:00Z</cp:lastPrinted>
  <dcterms:created xsi:type="dcterms:W3CDTF">2013-01-10T21:28:00Z</dcterms:created>
  <dcterms:modified xsi:type="dcterms:W3CDTF">2013-01-14T16:49:00Z</dcterms:modified>
</cp:coreProperties>
</file>